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8" w:rsidRPr="00042288" w:rsidRDefault="00042288" w:rsidP="00042288">
      <w:pPr>
        <w:spacing w:before="5640"/>
        <w:jc w:val="center"/>
        <w:rPr>
          <w:b/>
          <w:sz w:val="64"/>
          <w:szCs w:val="64"/>
        </w:rPr>
      </w:pPr>
      <w:bookmarkStart w:id="0" w:name="_GoBack"/>
      <w:bookmarkEnd w:id="0"/>
      <w:r w:rsidRPr="00042288">
        <w:rPr>
          <w:b/>
          <w:sz w:val="64"/>
          <w:szCs w:val="64"/>
        </w:rPr>
        <w:t>РЕКОМЕНДАЦИИ</w:t>
      </w:r>
    </w:p>
    <w:p w:rsidR="00A42F20" w:rsidRPr="00A42F20" w:rsidRDefault="00A42F20" w:rsidP="00042288">
      <w:pPr>
        <w:spacing w:before="240"/>
        <w:jc w:val="center"/>
        <w:rPr>
          <w:sz w:val="36"/>
          <w:szCs w:val="36"/>
        </w:rPr>
      </w:pPr>
      <w:r w:rsidRPr="00A42F20">
        <w:rPr>
          <w:sz w:val="36"/>
          <w:szCs w:val="36"/>
        </w:rPr>
        <w:t>ПО ПОДСЧЕТУ ЗАПАСОВ ПО СОПРЕДЕЛЬНЫМ И ТРАНСГРАНИЧНЫМ УЧАСТКАМ НЕДР</w:t>
      </w:r>
    </w:p>
    <w:p w:rsidR="00A42F20" w:rsidRPr="00A42F20" w:rsidRDefault="00A42F20" w:rsidP="00A42F20">
      <w:pPr>
        <w:spacing w:before="6000"/>
        <w:jc w:val="center"/>
        <w:rPr>
          <w:b/>
          <w:bCs/>
        </w:rPr>
      </w:pPr>
      <w:r w:rsidRPr="00A42F20">
        <w:rPr>
          <w:b/>
          <w:bCs/>
        </w:rPr>
        <w:t>Москва 2007</w:t>
      </w:r>
    </w:p>
    <w:p w:rsidR="00A42F20" w:rsidRPr="007D634E" w:rsidRDefault="00A42F20" w:rsidP="007D634E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A42F20">
        <w:rPr>
          <w:b/>
          <w:bCs/>
        </w:rPr>
        <w:br w:type="page"/>
      </w:r>
      <w:r w:rsidR="002133EB" w:rsidRPr="007D634E">
        <w:rPr>
          <w:sz w:val="26"/>
          <w:szCs w:val="26"/>
        </w:rPr>
        <w:lastRenderedPageBreak/>
        <w:t>Рекомендации по подсчету запасов по сопредельным и трансграничным участкам недр</w:t>
      </w:r>
      <w:r w:rsidRPr="007D634E">
        <w:rPr>
          <w:sz w:val="26"/>
          <w:szCs w:val="26"/>
        </w:rPr>
        <w:t xml:space="preserve"> разработаны Федеральным государственным учреждением «Государственной комиссией по запасам полезных ископаемых» (ФГУ «ГКЗ») за счет средств федерального бюджета по заказу Министерства природных ресурсов Российской Федерации и </w:t>
      </w:r>
      <w:r w:rsidR="002133EB" w:rsidRPr="007D634E">
        <w:rPr>
          <w:sz w:val="26"/>
          <w:szCs w:val="26"/>
        </w:rPr>
        <w:t>рекомендованы к использованию протоколом МПР России от 12.12.2007 №11-17/0144-пр, утвержденным Заместителем Министра природных ресурсов Ро</w:t>
      </w:r>
      <w:r w:rsidR="002133EB" w:rsidRPr="007D634E">
        <w:rPr>
          <w:sz w:val="26"/>
          <w:szCs w:val="26"/>
        </w:rPr>
        <w:t>с</w:t>
      </w:r>
      <w:r w:rsidR="002133EB" w:rsidRPr="007D634E">
        <w:rPr>
          <w:sz w:val="26"/>
          <w:szCs w:val="26"/>
        </w:rPr>
        <w:t>сийской Федерации А.И. Варлам</w:t>
      </w:r>
      <w:r w:rsidR="002133EB" w:rsidRPr="007D634E">
        <w:rPr>
          <w:sz w:val="26"/>
          <w:szCs w:val="26"/>
        </w:rPr>
        <w:t>о</w:t>
      </w:r>
      <w:r w:rsidR="002133EB" w:rsidRPr="007D634E">
        <w:rPr>
          <w:sz w:val="26"/>
          <w:szCs w:val="26"/>
        </w:rPr>
        <w:t>вым.</w:t>
      </w:r>
    </w:p>
    <w:p w:rsidR="002133EB" w:rsidRPr="007D634E" w:rsidRDefault="002133EB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Рекомендации предназначены для пользования всеми недропользователями, осуществляющими освоение трансграничных месторождений и участков недр на террит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рии Российской Федерации.</w:t>
      </w:r>
    </w:p>
    <w:p w:rsidR="002133EB" w:rsidRPr="007D634E" w:rsidRDefault="002133EB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iCs/>
          <w:spacing w:val="-2"/>
          <w:sz w:val="26"/>
          <w:szCs w:val="26"/>
        </w:rPr>
        <w:t>В Рекомендациях</w:t>
      </w:r>
      <w:r w:rsidRPr="007D634E">
        <w:rPr>
          <w:sz w:val="26"/>
          <w:szCs w:val="26"/>
        </w:rPr>
        <w:t xml:space="preserve"> раскрываются вопросы подсчета запасов на сопредельных и трансграничных участках недр, повышения достоверности государственного учета запасов, находящихся на этих участках, а также вопросы по урегулированию отн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шений нескольких недропользователей на трансграничных и сопредельных учас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ках с соблюдением установленных правовых норм.</w:t>
      </w:r>
    </w:p>
    <w:p w:rsidR="002133EB" w:rsidRPr="00A42F20" w:rsidRDefault="002133EB" w:rsidP="00A42F20">
      <w:pPr>
        <w:spacing w:line="360" w:lineRule="auto"/>
        <w:ind w:firstLine="567"/>
        <w:jc w:val="both"/>
        <w:rPr>
          <w:sz w:val="28"/>
          <w:szCs w:val="28"/>
        </w:rPr>
      </w:pPr>
    </w:p>
    <w:p w:rsidR="009C2287" w:rsidRPr="007B28FC" w:rsidRDefault="00A42F20" w:rsidP="007B28FC">
      <w:pPr>
        <w:shd w:val="clear" w:color="auto" w:fill="FFFFFF"/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="009C2287" w:rsidRPr="007B28FC">
        <w:rPr>
          <w:b/>
          <w:sz w:val="26"/>
          <w:szCs w:val="26"/>
        </w:rPr>
        <w:lastRenderedPageBreak/>
        <w:t>Рекомендации по подсчету запасов</w:t>
      </w:r>
    </w:p>
    <w:p w:rsidR="009C2287" w:rsidRPr="007B28FC" w:rsidRDefault="009C2287" w:rsidP="007B28FC">
      <w:pPr>
        <w:spacing w:line="360" w:lineRule="auto"/>
        <w:jc w:val="center"/>
        <w:rPr>
          <w:b/>
          <w:sz w:val="26"/>
          <w:szCs w:val="26"/>
        </w:rPr>
      </w:pPr>
      <w:bookmarkStart w:id="1" w:name="_Toc177996944"/>
      <w:r w:rsidRPr="007B28FC">
        <w:rPr>
          <w:b/>
          <w:sz w:val="26"/>
          <w:szCs w:val="26"/>
        </w:rPr>
        <w:t>по сопредельным и трансграничным участкам недр</w:t>
      </w:r>
      <w:bookmarkEnd w:id="1"/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2" w:name="_Toc177996945"/>
      <w:r w:rsidRPr="007D634E">
        <w:rPr>
          <w:b/>
          <w:sz w:val="26"/>
          <w:szCs w:val="26"/>
        </w:rPr>
        <w:t>1. Общие положения</w:t>
      </w:r>
      <w:bookmarkEnd w:id="2"/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Рекомендации по подсчету запасов по сопредельным и трансграничным участкам недр (далее – Рекомендации) определяют единые для всех недропользоват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лей Российской Федерации принципы организации процесса подсчета запасов углеводородного сырья трансграничных месторождений и проведения экспертизы материалов с подсчётом зап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Рекомендации разработаны в соответствии с Законом Российской Фед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 xml:space="preserve">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7D634E">
          <w:rPr>
            <w:sz w:val="26"/>
            <w:szCs w:val="26"/>
          </w:rPr>
          <w:t>1992 г</w:t>
        </w:r>
      </w:smartTag>
      <w:r w:rsidRPr="007D634E">
        <w:rPr>
          <w:sz w:val="26"/>
          <w:szCs w:val="26"/>
        </w:rPr>
        <w:t>. № 2395-1 «О недрах» (Ведомости Съезда народных депутатов Российской Федерации и Верховного Совета Российской Фед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рации, 1992, № 16, ст. 834; Собрание законодател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ства Российской Федерации, 1995, № 10, ст. 823; 1999, № 7, ст. 879; 2000, № 2, ст. 141; 2001, № 21, ст. 2061; 2001, № 33, ст. 3429; 2002, № 22, ст. 2026; 2003, № 23, ст. 2174; 2004, № 27, ст. 2711; 2004, № 35, ст. 3607; 2006, № 17 (I ч.), ст. 1778; 2006, № 44, ст. 4538, 2007, № 27, ст. 3213), Положением о Мин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стерстве природных ресурсов Российской Федерации, утвержденным Постановл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нием Правительства Российской Федерации от 22.07.200 № 370 (Собрание закон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дательства Российской Федерации, 2004, № 31, ст. 3260; 2004, № 32, ст. 3347; 2005, № 52 (III ч.), ст. 5759), Положением о Федеральном агентстве по недропольз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ванию, утвержденным Постановлением Правительства Российской Федер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ции от 17.06.2004  № 293 (Собрание законодательства Росси</w:t>
      </w:r>
      <w:r w:rsidRPr="007D634E">
        <w:rPr>
          <w:sz w:val="26"/>
          <w:szCs w:val="26"/>
        </w:rPr>
        <w:t>й</w:t>
      </w:r>
      <w:r w:rsidRPr="007D634E">
        <w:rPr>
          <w:sz w:val="26"/>
          <w:szCs w:val="26"/>
        </w:rPr>
        <w:t>ской Федерации, 2004, № 26, ст. 2669, 2006, № 25, ст. 2723), Классификацией запасов и прогнозных ресурсов нефти и газа, утвержденной приказом Министерства природных ресурсов от 01.11 2005 № 298 (зарегистрирован Министерством юстиции Российской Ф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дерации 23 декабря 2005г., регистрационный номер №7296), Положением «О порядке лиценз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рования пользования недрами», от 15.07. 1992  N 3314-1, в редакции Федеральн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го закона от 26.06.2007 N 118-ФЗ, «Временным положением об этапах и стадиях геол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горазведочных работ на нефть и газ», утвержденным приказом Министерства пр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родных ресурсов от 07.02. 2001 № 126, «Положением о государственной эксперт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мера и порядка взимания платы за ее проведение», утвержденным постановлением Пр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вительства Российской Федерации от 11.02.2005 №69 c изменениями, внесённ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 xml:space="preserve">ми постановлением </w:t>
      </w:r>
      <w:r w:rsidRPr="007D634E">
        <w:rPr>
          <w:sz w:val="26"/>
          <w:szCs w:val="26"/>
        </w:rPr>
        <w:lastRenderedPageBreak/>
        <w:t>Правительства Российской Федерации от 22.01.2007 №37 и друг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ми нормативными и методическими документами, регламентирующими провед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ние работ по подсчету запасов и государственной экспертизы запасов нефти и г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за.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разработке Рекомендаций использован российский и зарубежный опыт подсчета запасов углеводородного сырья трансграничных месторождений, а также материалы отечественных и зарубежных нормативных документов, регламент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рующих порядок геолого-экономической оценки месторождений, подсчета и учета запасов, прое</w:t>
      </w:r>
      <w:r w:rsidRPr="007D634E">
        <w:rPr>
          <w:sz w:val="26"/>
          <w:szCs w:val="26"/>
        </w:rPr>
        <w:t>к</w:t>
      </w:r>
      <w:r w:rsidRPr="007D634E">
        <w:rPr>
          <w:sz w:val="26"/>
          <w:szCs w:val="26"/>
        </w:rPr>
        <w:t>тирования предприятий по добыче и переработке минерального сырья трансграничных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ний недр.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Рекомендациях рассмотрены вопросы, касающиеся организации процесса и порядок проведения подсчета запасов, правил оформления матери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лов по подсчету запасов по трансграничным месторождениям и участкам недр и организация пров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дения эксперт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зы.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основу Рекомендаций положен используемый в мировой практике принцип юнитизации – объединения недропользователей для совместного пользования н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драми.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Государственные органы, регулирующие недропользование, используют свои полномочия для заключения межгосударственных соглашений о совместной разр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ботке месторождений, пересекаемых государственной границей, а также для оказ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ния давления на недропользователей с целью заключения между ними юнитизац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онное соглашения, о совместных действиях на всех этапах освоения трансграничных об</w:t>
      </w:r>
      <w:r w:rsidRPr="007D634E">
        <w:rPr>
          <w:sz w:val="26"/>
          <w:szCs w:val="26"/>
        </w:rPr>
        <w:t>ъ</w:t>
      </w:r>
      <w:r w:rsidRPr="007D634E">
        <w:rPr>
          <w:sz w:val="26"/>
          <w:szCs w:val="26"/>
        </w:rPr>
        <w:t>ектов.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юнитизационном соглашении рекомендуется урегулировать следующие 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просы: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процедура согласования, проведения подсчёта и экспертизы запасов углев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дородов.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разработка всех участков месторождения на основе единой технологической схемы, един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го проекта разработки;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ведение единого учета доходов и расходов по объединённой территории в целом, с последующим распределением этих доходов и расходов пропорци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нально запасам, принадлеж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щим каждому недропользователю;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Все разделы Рекомендаций состоят из двух частей. В первой части даются р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 xml:space="preserve">комендации для месторождений полностью расположенных в пределах Российской </w:t>
      </w:r>
      <w:r w:rsidRPr="007D634E">
        <w:rPr>
          <w:sz w:val="26"/>
          <w:szCs w:val="26"/>
        </w:rPr>
        <w:lastRenderedPageBreak/>
        <w:t>Федерации, во второй – пересекаемых государственной границей и частично нах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дящихся в соседнем государстве.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Установление факта наличия трансграничного месторождения углеводородного сырья прои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водится: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 факту открытия месторождения, которое после прохождения государственной экспертизы ставится на учёт в государственном балансе полезных ископаемых Российской Федерации с обязательным занесением на карту нефтегазоносности Российской Федерации и н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несением границ;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выдаче лицензии с определением лицензионных границ;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 xml:space="preserve"> после проведения государственной экспертизы, которая удостоверяет распространение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лежей за пределы различных границ.</w:t>
      </w:r>
    </w:p>
    <w:p w:rsidR="009C2287" w:rsidRPr="007D634E" w:rsidRDefault="009C2287" w:rsidP="007D634E">
      <w:pPr>
        <w:pStyle w:val="a5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3" w:name="_Toc177996946"/>
      <w:r w:rsidRPr="007D634E">
        <w:rPr>
          <w:b/>
          <w:sz w:val="26"/>
          <w:szCs w:val="26"/>
        </w:rPr>
        <w:t>2. Подсчёт запасов углеводородного сырья трансграничных</w:t>
      </w:r>
      <w:bookmarkEnd w:id="3"/>
      <w:r w:rsidRPr="007D634E">
        <w:rPr>
          <w:b/>
          <w:sz w:val="26"/>
          <w:szCs w:val="26"/>
        </w:rPr>
        <w:t xml:space="preserve"> </w:t>
      </w:r>
      <w:bookmarkStart w:id="4" w:name="_Toc177996947"/>
      <w:r w:rsidRPr="007D634E">
        <w:rPr>
          <w:b/>
          <w:sz w:val="26"/>
          <w:szCs w:val="26"/>
        </w:rPr>
        <w:t>месторождений</w:t>
      </w:r>
      <w:bookmarkEnd w:id="4"/>
      <w:r w:rsidRPr="007D634E">
        <w:rPr>
          <w:b/>
          <w:sz w:val="26"/>
          <w:szCs w:val="26"/>
        </w:rPr>
        <w:t>, расположенных в пределах Российской Фед</w:t>
      </w:r>
      <w:r w:rsidRPr="007D634E">
        <w:rPr>
          <w:b/>
          <w:sz w:val="26"/>
          <w:szCs w:val="26"/>
        </w:rPr>
        <w:t>е</w:t>
      </w:r>
      <w:r w:rsidRPr="007D634E">
        <w:rPr>
          <w:b/>
          <w:sz w:val="26"/>
          <w:szCs w:val="26"/>
        </w:rPr>
        <w:t>рации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Подсчет запасов углеводородного сырья является основой для составления проектов совместного или раздельного освоения и эксплуатации трансграничных 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сторождений.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Освоение запасов трансграничных месторождений в одностороннем п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рядке одним из недропользователей может повлиять на изменение количества и к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чества запасов в другой части месторождения находящегося в нераспределённом фонде недр или принадлежащего другому недропользователю. Односторонняя в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работка запасов трансграничных мест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рождений недопустима.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Подсчёт геологических запасов трансграничных месторождений не имеет каких-либо отличий от подсчёта запасов других месторождений и проводится в соответствии с действующими норм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тивными и методическими документами.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Особенностью подсчёта извлекаемых запасов такого типа месторождений состоит в том, что при определении коэффициентов извлечения нефти или конде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сата приходится учитывать экономические условия и налоговые режимы по разную сторону границ. Эти различия внутри Российской Федерации могут образоваться при пересечении месторождения границами административных образований, где, в рамках своих полномочий, местные власти могут устанавливать разные ставки на местные налоги; при пересечении месторождений границами лицензионных учас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 xml:space="preserve">ков, когда у различных </w:t>
      </w:r>
      <w:r w:rsidRPr="007D634E">
        <w:rPr>
          <w:sz w:val="26"/>
          <w:szCs w:val="26"/>
        </w:rPr>
        <w:lastRenderedPageBreak/>
        <w:t>недропользователей в лицензионных соглашениях могут быть заложены неодинаковые условия, касающиеся временных и финансовых об</w:t>
      </w:r>
      <w:r w:rsidRPr="007D634E">
        <w:rPr>
          <w:sz w:val="26"/>
          <w:szCs w:val="26"/>
        </w:rPr>
        <w:t>я</w:t>
      </w:r>
      <w:r w:rsidRPr="007D634E">
        <w:rPr>
          <w:sz w:val="26"/>
          <w:szCs w:val="26"/>
        </w:rPr>
        <w:t>зательств.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Различия в коэффициентах извлечения на разных участках трансграничного месторождения могут быть связаны не только с экономическим фактором, но и геологическим строением объекта подсчёта. Возможна ситуация, когда одному недропользователю до</w:t>
      </w:r>
      <w:r w:rsidRPr="007D634E">
        <w:rPr>
          <w:sz w:val="26"/>
          <w:szCs w:val="26"/>
        </w:rPr>
        <w:t>с</w:t>
      </w:r>
      <w:r w:rsidRPr="007D634E">
        <w:rPr>
          <w:sz w:val="26"/>
          <w:szCs w:val="26"/>
        </w:rPr>
        <w:t>танется участок с лучшими геологическими условиями, чем его соседу. В этом случае условия извлечения углеводородов могут ра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личаться и при одинаковом налоговом режиме.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На стадии проведения геологоразведочных работ оперативная оценка зап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 углеводородного сырья по категориям С</w:t>
      </w:r>
      <w:r w:rsidRPr="007D634E">
        <w:rPr>
          <w:sz w:val="26"/>
          <w:szCs w:val="26"/>
          <w:vertAlign w:val="subscript"/>
        </w:rPr>
        <w:t>1</w:t>
      </w:r>
      <w:r w:rsidRPr="007D634E">
        <w:rPr>
          <w:sz w:val="26"/>
          <w:szCs w:val="26"/>
        </w:rPr>
        <w:t>+С</w:t>
      </w:r>
      <w:r w:rsidRPr="007D634E">
        <w:rPr>
          <w:sz w:val="26"/>
          <w:szCs w:val="26"/>
          <w:vertAlign w:val="subscript"/>
        </w:rPr>
        <w:t>2</w:t>
      </w:r>
      <w:r w:rsidRPr="007D634E">
        <w:rPr>
          <w:sz w:val="26"/>
          <w:szCs w:val="26"/>
        </w:rPr>
        <w:t xml:space="preserve"> может производиться в одност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роннем порядке каждым из недр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пользователей.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проведении геологоразведочных работ, по договорённости между недропользов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телями, необходимо определить зону взаимного обмена геолого-геофизической информацией. С учётом практики проведения экспертизы операти</w:t>
      </w:r>
      <w:r w:rsidRPr="007D634E">
        <w:rPr>
          <w:sz w:val="26"/>
          <w:szCs w:val="26"/>
        </w:rPr>
        <w:t>в</w:t>
      </w:r>
      <w:r w:rsidRPr="007D634E">
        <w:rPr>
          <w:sz w:val="26"/>
          <w:szCs w:val="26"/>
        </w:rPr>
        <w:t>ного изменения состояния запасов углеводородного сырья, такая зона должна 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ставлять не менее двойного шага эксплуатационной сетки с каждой стороны гран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цы. Вся информация, полученная в этой зоне каждым из недропользователей дол</w:t>
      </w:r>
      <w:r w:rsidRPr="007D634E">
        <w:rPr>
          <w:sz w:val="26"/>
          <w:szCs w:val="26"/>
        </w:rPr>
        <w:t>ж</w:t>
      </w:r>
      <w:r w:rsidRPr="007D634E">
        <w:rPr>
          <w:sz w:val="26"/>
          <w:szCs w:val="26"/>
        </w:rPr>
        <w:t>на быть доступна соседнему владельцу лицензии и, по его запросу, предоставляться ему бе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возмездно.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этой зоне не допускается пробная эксплуатация продуктивных поисковых и ра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ведочных скважин одним недропользователем в одностороннем порядке, без согласования с владельцем лице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зии по другую сторону границы.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Подсчет запасов углеводородного сырья разведанных и подготовленных к промышленному освоению трансграничных месторождений, расположенных в пр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делах Российской Федерации проводится в целом по месторождению, включая все его участки, расположенные по разные стороны от гр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ниц.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Если трансграничное месторождение находится в стадии разработки, то 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жду недропользователями достигается договорённость о периодичности проведения пересчёта запасов, которая будет зависеть от получения новой информации по об</w:t>
      </w:r>
      <w:r w:rsidRPr="007D634E">
        <w:rPr>
          <w:sz w:val="26"/>
          <w:szCs w:val="26"/>
        </w:rPr>
        <w:t>ъ</w:t>
      </w:r>
      <w:r w:rsidRPr="007D634E">
        <w:rPr>
          <w:sz w:val="26"/>
          <w:szCs w:val="26"/>
        </w:rPr>
        <w:t>ектам разработки и насколько эта информация может повлиять на состояние зап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сов, принадлежащих каждому из недропользователей. Под новой информацией п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 xml:space="preserve">нимается </w:t>
      </w:r>
      <w:r w:rsidRPr="007D634E">
        <w:rPr>
          <w:sz w:val="26"/>
          <w:szCs w:val="26"/>
        </w:rPr>
        <w:lastRenderedPageBreak/>
        <w:t>получение дополнительной геолого-геофизической информации в резул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тате эксплуатационного разбуривания, изменения темпов и объёмов отбора с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рья из недр.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Подсчет запасов по отдельным участкам, не являющимися самостоятельн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ми геологическими объектами трансграничных месторождений, не является целес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образным. Если в пределах общих границ месторождения есть отдельные залежи, установленная площадь нефтегазоносности которых расположена в пределах лице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зионного участка одного недропользователя и эта залежь является самостоятельным объектом разработки возможна эксплуатация этой залежи без согласования с сосе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ним недропользователем.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подсчете запасов по трансграничным месторождениям рекомендуе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ся: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уточнить в координатах границы лицензионных участков и административных границ, н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носимых на подсчётные планы;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согласовать индексацию пластов и стратиграфических комплексов для установления иде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тичности залежей;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создать единый банк данных по объекту подсчёта;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согласовать методику обработки геолого-геофизической информации и методика построения геологической и гидродинамической моделей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построить единую геологическую модель месторождения, в которой согласовывается геологическая и геофизическая информация и подсчетные параме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ры по отдельным участкам и месторождению в ц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лом;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подсчитать геологические запасы по каждой залежи, по каждому лицензионному участку с учётом распределения подсчётных параметров по площади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в соответствии с единой геологической моделью;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подсчитать извлекаемые запасы с учётом всех условий, в которых приходится работать каждому недропользователю;</w:t>
      </w:r>
    </w:p>
    <w:p w:rsidR="009C2287" w:rsidRPr="007D634E" w:rsidRDefault="009C2287" w:rsidP="007D634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определить объёмы запасов, приходящиеся на долю каждого недропользователя по всем залежам и в пределах категорий запасов, установленных на основании действующей кла</w:t>
      </w:r>
      <w:r w:rsidRPr="007D634E">
        <w:rPr>
          <w:sz w:val="26"/>
          <w:szCs w:val="26"/>
        </w:rPr>
        <w:t>с</w:t>
      </w:r>
      <w:r w:rsidRPr="007D634E">
        <w:rPr>
          <w:sz w:val="26"/>
          <w:szCs w:val="26"/>
        </w:rPr>
        <w:t>сификации.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Выделение групп запасов по экономической эффективности и категорий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пасов по геологической изученности необходимо проводить с учетом изученности соседних учас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ков.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lastRenderedPageBreak/>
        <w:t>Технико-экономические расчеты по обоснованию коэффициентов извлеч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нефти, газа и конденсаты приводятся в целом по месторождению, с последующей ди</w:t>
      </w:r>
      <w:r w:rsidRPr="007D634E">
        <w:rPr>
          <w:sz w:val="26"/>
          <w:szCs w:val="26"/>
        </w:rPr>
        <w:t>ф</w:t>
      </w:r>
      <w:r w:rsidRPr="007D634E">
        <w:rPr>
          <w:sz w:val="26"/>
          <w:szCs w:val="26"/>
        </w:rPr>
        <w:t>ференциацией по лицензионным участкам.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7D634E">
        <w:rPr>
          <w:b/>
          <w:sz w:val="26"/>
          <w:szCs w:val="26"/>
        </w:rPr>
        <w:t>3. Подсчёт запасов углеводородного сырья трансграничных месторождений, пересекаемых государственной границей Российской Фед</w:t>
      </w:r>
      <w:r w:rsidRPr="007D634E">
        <w:rPr>
          <w:b/>
          <w:sz w:val="26"/>
          <w:szCs w:val="26"/>
        </w:rPr>
        <w:t>е</w:t>
      </w:r>
      <w:r w:rsidRPr="007D634E">
        <w:rPr>
          <w:b/>
          <w:sz w:val="26"/>
          <w:szCs w:val="26"/>
        </w:rPr>
        <w:t>рации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Подсчет запасов углеводородного сырья трансграничных месторождений, пересекаемых гос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дарственной границей Российской Федерации, является основой для составления проектов совместного с зарубежным недропользователем или раздел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ного их освоения и эксплуатации.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Освоение запасов трансграничных месторождений в одностороннем порядке одним из недропользователей может повлиять на изменение количества и качества запасов в другой части месторождения находящегося в соседнем государстве. Одн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сторонняя выработка запасов трансграни</w:t>
      </w:r>
      <w:r w:rsidRPr="007D634E">
        <w:rPr>
          <w:sz w:val="26"/>
          <w:szCs w:val="26"/>
        </w:rPr>
        <w:t>ч</w:t>
      </w:r>
      <w:r w:rsidRPr="007D634E">
        <w:rPr>
          <w:sz w:val="26"/>
          <w:szCs w:val="26"/>
        </w:rPr>
        <w:t>ных месторождений недопустима.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проведении геологоразведочных работ, по договорённости с зарубе</w:t>
      </w:r>
      <w:r w:rsidRPr="007D634E">
        <w:rPr>
          <w:sz w:val="26"/>
          <w:szCs w:val="26"/>
        </w:rPr>
        <w:t>ж</w:t>
      </w:r>
      <w:r w:rsidRPr="007D634E">
        <w:rPr>
          <w:sz w:val="26"/>
          <w:szCs w:val="26"/>
        </w:rPr>
        <w:t>ным недропользователем, необходимо определить зону взаимного обм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на геолого-геофизической информацией. С учётом практики проведения экспертизы операти</w:t>
      </w:r>
      <w:r w:rsidRPr="007D634E">
        <w:rPr>
          <w:sz w:val="26"/>
          <w:szCs w:val="26"/>
        </w:rPr>
        <w:t>в</w:t>
      </w:r>
      <w:r w:rsidRPr="007D634E">
        <w:rPr>
          <w:sz w:val="26"/>
          <w:szCs w:val="26"/>
        </w:rPr>
        <w:t>ного изменения состояния запасов углеводородного сырья, такая зона должна 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ставлять не менее двойного шага эксплуатационной сетки с каждой стороны гран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цы.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ab/>
        <w:t>Вся информация, полученная в этой зоне, должна быть доступна каждому из недропользователей и, по его запросу, предоставляться ему безвозмездно. В этой зоне не допускается пробная эксплуатация продуктивных поисковых и разведочных скв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жин одним недропользователем в одностороннем порядке, без согласования с владельцем лицензии по другую сторону гос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дарственной границы.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Если трансграничное месторождение переходит в стадию разработки, то 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жду недропользователями достигается договорённость о периодичности проведения пересчёта запасов, которая будет зависеть от получения новой информации по об</w:t>
      </w:r>
      <w:r w:rsidRPr="007D634E">
        <w:rPr>
          <w:sz w:val="26"/>
          <w:szCs w:val="26"/>
        </w:rPr>
        <w:t>ъ</w:t>
      </w:r>
      <w:r w:rsidRPr="007D634E">
        <w:rPr>
          <w:sz w:val="26"/>
          <w:szCs w:val="26"/>
        </w:rPr>
        <w:t>ектам разработки и насколько эта информация может повлиять на состояние зап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сов, принадлежащих каждому из недропользователей. Под новой информацией п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нимается получение дополнительной геолого-геофизической информации в резул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тате эксплуатационного разбуривания, изменения темпов и объёмов отбора с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рья из недр.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lastRenderedPageBreak/>
        <w:t>Подсчет запасов углеводородного сырья трансграничных месторождений, пересекаемых государственной границей Российской Федерации желательно пров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дить в целом по месторождению, включая все его участки, расположенные по ра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ные стороны гран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цы.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Особенностью подсчёта извлекаемых запасов такого типа месторождений состоит в том, что при определении коэффициентов извлечения нефти или конде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сата приходится учитывать экономические условия и налоговые режимы по разную сторону государстве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ной границы.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При подсчете запасов по трансграничным месторождениям рекомендуется: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уточнить в координатах границы лицензионных участков и государственных границ, нан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симых на подсчётные планы;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согласовать индексацию пластов и стратиграфических комплексов для установления иде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тичности залежей;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создать единую базу данных по объекту подсчёта;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согласовать методику обработки геолого-геофизической информации и методику постро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геологической модели месторождения;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построить единую геологическая модель месторождения, в которой соглас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вать геологическую и геофизическую информацию и подсчетные параметры по отдельным участкам месторо</w:t>
      </w:r>
      <w:r w:rsidRPr="007D634E">
        <w:rPr>
          <w:sz w:val="26"/>
          <w:szCs w:val="26"/>
        </w:rPr>
        <w:t>ж</w:t>
      </w:r>
      <w:r w:rsidRPr="007D634E">
        <w:rPr>
          <w:sz w:val="26"/>
          <w:szCs w:val="26"/>
        </w:rPr>
        <w:t>дения;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подсчитать геологические запасы по каждой залежи, по каждому лицензионному участку с учётом распределения подсчётных параметров по площади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в соответствии с единой геологической моделью;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подсчитать извлекаемые запасы с учётом всех условий, в которых приходится работать каждому недропользователю;</w:t>
      </w:r>
    </w:p>
    <w:p w:rsidR="009C2287" w:rsidRPr="007D634E" w:rsidRDefault="009C2287" w:rsidP="007D634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определить объёмы запасов, приходящиеся на долю каждого недропользователя по всем залежам и в пределах категорий запасов, установленных на основании классификации де</w:t>
      </w:r>
      <w:r w:rsidRPr="007D634E">
        <w:rPr>
          <w:sz w:val="26"/>
          <w:szCs w:val="26"/>
        </w:rPr>
        <w:t>й</w:t>
      </w:r>
      <w:r w:rsidRPr="007D634E">
        <w:rPr>
          <w:sz w:val="26"/>
          <w:szCs w:val="26"/>
        </w:rPr>
        <w:t>ствующей на территории соседних государств.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Технико-экономические расчеты по обоснованию коэффициентов извлеч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нефти, газа и конденсата проводятся в целом по месторождению, с последу</w:t>
      </w:r>
      <w:r w:rsidRPr="007D634E">
        <w:rPr>
          <w:sz w:val="26"/>
          <w:szCs w:val="26"/>
        </w:rPr>
        <w:t>ю</w:t>
      </w:r>
      <w:r w:rsidRPr="007D634E">
        <w:rPr>
          <w:sz w:val="26"/>
          <w:szCs w:val="26"/>
        </w:rPr>
        <w:t>щей дифференциацией по участкам месторождения с каждой стороны гран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цы.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 xml:space="preserve">Различия в коэффициентах извлечения на разных участках трансграничного месторождения могут быть связаны не только с экономическим фактором, но и </w:t>
      </w:r>
      <w:r w:rsidRPr="007D634E">
        <w:rPr>
          <w:sz w:val="26"/>
          <w:szCs w:val="26"/>
        </w:rPr>
        <w:lastRenderedPageBreak/>
        <w:t>геологическим строением объекта подсчёта. Возможна ситуация, когда с одной стор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ны государственной границы находится участок с лучшими геологическими усл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виями, чем на соседнем участке. В этом случае условия и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влечения углеводородов могут различаться и при одинаковом налоговом р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жиме.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международной практике есть примеры, когда на таких месторождениях, по межгосуда</w:t>
      </w:r>
      <w:r w:rsidRPr="007D634E">
        <w:rPr>
          <w:sz w:val="26"/>
          <w:szCs w:val="26"/>
        </w:rPr>
        <w:t>р</w:t>
      </w:r>
      <w:r w:rsidRPr="007D634E">
        <w:rPr>
          <w:sz w:val="26"/>
          <w:szCs w:val="26"/>
        </w:rPr>
        <w:t>ственному соглашению устанавливается единый налоговый режим на весь период разработки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пасов месторождения.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b/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5" w:name="_Toc177996948"/>
      <w:r w:rsidRPr="007D634E">
        <w:rPr>
          <w:b/>
          <w:sz w:val="26"/>
          <w:szCs w:val="26"/>
        </w:rPr>
        <w:t>4. Организация работы по подсчёту запасов</w:t>
      </w:r>
      <w:bookmarkEnd w:id="5"/>
      <w:r w:rsidRPr="007D634E">
        <w:rPr>
          <w:b/>
          <w:sz w:val="26"/>
          <w:szCs w:val="26"/>
        </w:rPr>
        <w:t xml:space="preserve"> месторождений, расположенных в пр</w:t>
      </w:r>
      <w:r w:rsidRPr="007D634E">
        <w:rPr>
          <w:b/>
          <w:sz w:val="26"/>
          <w:szCs w:val="26"/>
        </w:rPr>
        <w:t>е</w:t>
      </w:r>
      <w:r w:rsidRPr="007D634E">
        <w:rPr>
          <w:b/>
          <w:sz w:val="26"/>
          <w:szCs w:val="26"/>
        </w:rPr>
        <w:t>делах Российской Федерации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Работы по разведке и разработке месторождений нефти и газа, расположе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ных в пределах нескольких субъектов Российской Федерации или лицензионных участков ведутся таким образом, чтобы они были выгодны недропользователям, не наносили урона недрам и не причин</w:t>
      </w:r>
      <w:r w:rsidRPr="007D634E">
        <w:rPr>
          <w:sz w:val="26"/>
          <w:szCs w:val="26"/>
        </w:rPr>
        <w:t>я</w:t>
      </w:r>
      <w:r w:rsidRPr="007D634E">
        <w:rPr>
          <w:sz w:val="26"/>
          <w:szCs w:val="26"/>
        </w:rPr>
        <w:t>ли ущерба государству.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После установления факта открытия и (или) получения материалов, по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тверждающих, что залежи месторождения распространяются на территорию другого лицензионного участка, в случае, если этот участок принадлежит другому недропользователю, необходимо поставить его в известность и предложить ему согласовать программу совместного изучения и освоения открытого 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сторождения.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Если месторождение, на освоение которого выдано более одной лицензии, находится в стадии разведки или разработки и у одного из недропользователей по</w:t>
      </w:r>
      <w:r w:rsidRPr="007D634E">
        <w:rPr>
          <w:sz w:val="26"/>
          <w:szCs w:val="26"/>
        </w:rPr>
        <w:t>я</w:t>
      </w:r>
      <w:r w:rsidRPr="007D634E">
        <w:rPr>
          <w:sz w:val="26"/>
          <w:szCs w:val="26"/>
        </w:rPr>
        <w:t>вилась необходимость пересчитать запасы, он должен обратиться к другим владел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цам лицензий с предложением объединить усилия по подготовке отчёта с подсчётом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пасов и ТЭО КИН.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 xml:space="preserve"> Для совместного подсчета запасов нефти и газа на трансграничных месторождениях всем недропользователям необходимо определить и согласовать предприятие, которому они доверят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 xml:space="preserve">вести работы по составлению отчёта с подсчётом запасов и ТЭО КИН. 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Для координации работ и оперативного решения возникающих проблем предлагается создать на паритетных началах специальный орган (координатор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екта), которому будут даны определённые права принимать решения по возника</w:t>
      </w:r>
      <w:r w:rsidRPr="007D634E">
        <w:rPr>
          <w:sz w:val="26"/>
          <w:szCs w:val="26"/>
        </w:rPr>
        <w:t>ю</w:t>
      </w:r>
      <w:r w:rsidRPr="007D634E">
        <w:rPr>
          <w:sz w:val="26"/>
          <w:szCs w:val="26"/>
        </w:rPr>
        <w:t>щим вопросам. Руководить этим органом на ротационной основе могут представ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 xml:space="preserve">тели каждой из сторон. </w:t>
      </w:r>
      <w:r w:rsidRPr="007D634E">
        <w:rPr>
          <w:sz w:val="26"/>
          <w:szCs w:val="26"/>
        </w:rPr>
        <w:lastRenderedPageBreak/>
        <w:t>Возможно привлечение для этой роли независимого пре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приятия, имеющего опыт работы в этой сфере. Этому совместному органу (пре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приятию) необходимо дать право осуществлять координацию всех работ по подсч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ту запасов и подготовке представления отчета в органы государственной эксперт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зы. Оплата работ по подсчёту запасов осуществляется в рамках договора между н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дропользователями. Создание специального органа (координатора проекта) или привлечение независимого предприятия вызвано необходимостью разрешения мн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гочисленных вопросов, возникающих при согласовании позиций разных недропол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зователей, организации проведения рабочих совещаний, осуществления контроля за 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ботой предприятия исполнителя, согласования организационных, технических и спец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альных вопросов.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случае несогласия одной из сторон с выполненным подсчётом запасов и распределением запасов между недропользователями, несогласная сторона вправе пр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влечь за собственные средства независимую аудиторскую компанию, решение которой может быть учтено в окончательном решении при пересчете запасов угл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водородного сырья.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7D634E">
        <w:rPr>
          <w:b/>
          <w:sz w:val="26"/>
          <w:szCs w:val="26"/>
        </w:rPr>
        <w:t>5. Организация работы по подсчёту запасов месторождений, пересекаемых государственной границей Российской Федер</w:t>
      </w:r>
      <w:r w:rsidRPr="007D634E">
        <w:rPr>
          <w:b/>
          <w:sz w:val="26"/>
          <w:szCs w:val="26"/>
        </w:rPr>
        <w:t>а</w:t>
      </w:r>
      <w:r w:rsidRPr="007D634E">
        <w:rPr>
          <w:b/>
          <w:sz w:val="26"/>
          <w:szCs w:val="26"/>
        </w:rPr>
        <w:t>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Работы по разведке и разработке месторождений нефти и газа, пересекаемых государственной границей Российской Федерации ведутся таким образом, чтобы они были выгодны недропользователям, не наносили урона недрам и не пр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чиняли ущерба соседним гос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дарствам.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После установления факта открытия и (или) получения материалов, по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тверждающих, что залежи месторождения распространяются на территорию другого государства, необходимо поставить в известность соответствующие органы власти соседнего государства, отвечающие за недропользование на своей территории и предложить согласовать программу совместного изучения открытого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Решение о совместном освоении такого типа месторождений согласовывае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ся и подтверждается межправительственным договором, который в общих чертах обозначит основные условия сотрудничества и определит временные и пространс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венные границы деятельности недропользователей. Необходимость подписания т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 xml:space="preserve">кого договора вызвана </w:t>
      </w:r>
      <w:r w:rsidRPr="007D634E">
        <w:rPr>
          <w:sz w:val="26"/>
          <w:szCs w:val="26"/>
        </w:rPr>
        <w:lastRenderedPageBreak/>
        <w:t>тем, что проведение работ по разведке и освоению местор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ждения будет происходить в приграничной зоне с особым режимом проведения 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бот.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Если со стороны соседнего государства на площади трансграничного мест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рождения выдана лицензия и есть предприятие недропользователь, в переговорах по организации работ на месторождении должен участвовать представитель этого пре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приятия.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Если трансграничное месторождение, находится в стадии разведки или ра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работки и у одного из недропользователей появилась необходимость пересчитать запасы, он должен обратиться к зарубежному недропользователю с предложением объединить усилия по подготовке отчёта с по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счётом запасов и ТЭО КИН.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Для совместного подсчета запасов нефти и газа на трансграничных месторождениях всем недропользователям необходимо определить и согласовать предприятие, которому они доверят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вести работы по подсчёту запасов.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Для координации работ и оперативного разрешения возникающих проблем предлагается создать на паритетных началах специальный орган (комитет), которому б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дут даны определённые права принимать решения по возникающим вопросам. Руководить этим органом на ротационной основе могут представители каждой из сторон. Возможно привлечение для этой роли независимого предприятия, имеющ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го опыт работы в этой сфере. Этому совместному органу (предприятию) необход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мо дать право осуществлять координацию всех работ по подсчету запасов и подг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товке представления отчета в органы государственной экспертизы. Оплата работ по по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счёту запасов осуществляется в рамках договора между недропользователями. Со</w:t>
      </w:r>
      <w:r w:rsidRPr="007D634E">
        <w:rPr>
          <w:sz w:val="26"/>
          <w:szCs w:val="26"/>
        </w:rPr>
        <w:t>з</w:t>
      </w:r>
      <w:r w:rsidRPr="007D634E">
        <w:rPr>
          <w:sz w:val="26"/>
          <w:szCs w:val="26"/>
        </w:rPr>
        <w:t>дание специального органа или привлечение независимого предприятия вызвано необходимостью разрешения многочисленных вопросов, возникающих при соглас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вании позиций разных недропользователей, организации проведения рабочих сов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щаний, осуществления контроля за работой предприятия испо</w:t>
      </w:r>
      <w:r w:rsidRPr="007D634E">
        <w:rPr>
          <w:sz w:val="26"/>
          <w:szCs w:val="26"/>
        </w:rPr>
        <w:t>л</w:t>
      </w:r>
      <w:r w:rsidRPr="007D634E">
        <w:rPr>
          <w:sz w:val="26"/>
          <w:szCs w:val="26"/>
        </w:rPr>
        <w:t>нителя, согласования технических и специальных вопросов. Кроме того, этому органы (предприятию) п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ручается подготавливать необходимые соглашения с учётом международного права в сфере недропользования и действующих в соседних государствах законодательных и пр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вовых норм.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 xml:space="preserve">В случае несогласия одной из сторон с выполненным подсчётом запасов и распределением запасов между недропользователями, несогласная сторона вправе </w:t>
      </w:r>
      <w:r w:rsidRPr="007D634E">
        <w:rPr>
          <w:sz w:val="26"/>
          <w:szCs w:val="26"/>
        </w:rPr>
        <w:lastRenderedPageBreak/>
        <w:t>пр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влечь за собственные средства независимую аудиторскую компанию, решение которой может быть у</w:t>
      </w:r>
      <w:r w:rsidRPr="007D634E">
        <w:rPr>
          <w:sz w:val="26"/>
          <w:szCs w:val="26"/>
        </w:rPr>
        <w:t>ч</w:t>
      </w:r>
      <w:r w:rsidRPr="007D634E">
        <w:rPr>
          <w:sz w:val="26"/>
          <w:szCs w:val="26"/>
        </w:rPr>
        <w:t xml:space="preserve">тено в окончательном подсчёте. 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6" w:name="_Toc177996949"/>
      <w:r w:rsidRPr="007D634E">
        <w:rPr>
          <w:b/>
          <w:sz w:val="26"/>
          <w:szCs w:val="26"/>
        </w:rPr>
        <w:t>6. Порядок представления материалов на экспертизу</w:t>
      </w:r>
      <w:bookmarkEnd w:id="6"/>
      <w:r w:rsidRPr="007D634E">
        <w:rPr>
          <w:b/>
          <w:sz w:val="26"/>
          <w:szCs w:val="26"/>
        </w:rPr>
        <w:t xml:space="preserve"> по месторождениям, распол</w:t>
      </w:r>
      <w:r w:rsidRPr="007D634E">
        <w:rPr>
          <w:b/>
          <w:sz w:val="26"/>
          <w:szCs w:val="26"/>
        </w:rPr>
        <w:t>о</w:t>
      </w:r>
      <w:r w:rsidRPr="007D634E">
        <w:rPr>
          <w:b/>
          <w:sz w:val="26"/>
          <w:szCs w:val="26"/>
        </w:rPr>
        <w:t>женным в пределах Российской Федерации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Основанием для проведения государственной экспертизы запасов является совместное обращение недропользователей в Федеральное государственное учре</w:t>
      </w:r>
      <w:r w:rsidRPr="007D634E">
        <w:rPr>
          <w:sz w:val="26"/>
          <w:szCs w:val="26"/>
        </w:rPr>
        <w:t>ж</w:t>
      </w:r>
      <w:r w:rsidRPr="007D634E">
        <w:rPr>
          <w:sz w:val="26"/>
          <w:szCs w:val="26"/>
        </w:rPr>
        <w:t>дение «Государственная комиссия по запасам полезных ископа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мых» или в один из его территориальных филиалов.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Представляемые на государственную экспертизу материалы по подсчету запасов трансграничных месторождений, расположенных в пределах Российской Федерации оформляются в соответствии с действующими инструктивными и методическими документами, регламентирующими оформление отчетов по подсчету зап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Отчет по подсчету запасов содержит:</w:t>
      </w:r>
    </w:p>
    <w:p w:rsidR="009C2287" w:rsidRPr="007D634E" w:rsidRDefault="009C2287" w:rsidP="007D634E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текстовую часть, в которой приводятся сведения о недропользователе, о лицензии (лицензиях) на право пользования участком недр, целевое назначение и ср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ки действия лицензии, выкопировка из лицензионного соглашения, касающаяся представления отчетов с подсчетом запасов на государственную экспертизу, инфо</w:t>
      </w:r>
      <w:r w:rsidRPr="007D634E">
        <w:rPr>
          <w:sz w:val="26"/>
          <w:szCs w:val="26"/>
        </w:rPr>
        <w:t>р</w:t>
      </w:r>
      <w:r w:rsidRPr="007D634E">
        <w:rPr>
          <w:sz w:val="26"/>
          <w:szCs w:val="26"/>
        </w:rPr>
        <w:t>мация о действующем проектном документе, сведения о состоянии запасов по залежам,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пасы которых представляются на государс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венную экспертизу, информация о видах и объемах геологоразведочных (эксплуатационных) работ, проведенных за отчё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ный период, обоснование подсчетных параметров и категорий запасов, в обоснов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нии коэффициента извлечения нефти прикладываются экспресс расчёты, или прив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дятся аналогии с действующими проектными документами по рассматриваемому месторождению, изменения в запасах, полученных в результ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те подсчёта.</w:t>
      </w:r>
    </w:p>
    <w:p w:rsidR="009C2287" w:rsidRPr="007D634E" w:rsidRDefault="009C2287" w:rsidP="007D634E">
      <w:pPr>
        <w:pStyle w:val="a5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графические и табличные материалы, иллюстрирующие изменения состояния запасов, в том числе подсчетные планы по всем объектам подсчета с нанесением гр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ниц лицензионных участков и контуров запасов, ранее учтенных в государстве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ном балансе и вновь подсчитанных, карты толщин, каротажные и сейсмические мат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 xml:space="preserve">риалы, подтверждающие геологическую модель залежей, геологические разрезы, схемы </w:t>
      </w:r>
      <w:r w:rsidRPr="007D634E">
        <w:rPr>
          <w:sz w:val="26"/>
          <w:szCs w:val="26"/>
        </w:rPr>
        <w:lastRenderedPageBreak/>
        <w:t>корреляции, таблицы подсчетных параметров, сравнительные таблицы у</w:t>
      </w:r>
      <w:r w:rsidRPr="007D634E">
        <w:rPr>
          <w:sz w:val="26"/>
          <w:szCs w:val="26"/>
        </w:rPr>
        <w:t>ч</w:t>
      </w:r>
      <w:r w:rsidRPr="007D634E">
        <w:rPr>
          <w:sz w:val="26"/>
          <w:szCs w:val="26"/>
        </w:rPr>
        <w:t>тенных и новых представленных подсчетных пар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метров и запасов по категориям.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Предварительное рассмотрение отчёта проводится с участием всех внешта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ных экспертов и авторов отчёта. На этом заседании вырабатывается единая позиция экспертизы, что и закрепляется проектом решения, по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писанным всеми экспертами.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случае, если по какому либо вопросу не было достигнуто единого мнения, ФГУ «ГКЗ» может организовать проведение дополнительной экспертизы, позиция к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торой должна быть учтена в проекте решения комиссии.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Порядок оплаты работы и суммы вознаграждения авторов отчёта с подсч</w:t>
      </w:r>
      <w:r w:rsidRPr="007D634E">
        <w:rPr>
          <w:sz w:val="26"/>
          <w:szCs w:val="26"/>
        </w:rPr>
        <w:t>ё</w:t>
      </w:r>
      <w:r w:rsidRPr="007D634E">
        <w:rPr>
          <w:sz w:val="26"/>
          <w:szCs w:val="26"/>
        </w:rPr>
        <w:t>том запасов и ТЭО КИН определяются в специальном договоре между недропольз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вателями.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Окончательным документом является протокол ГКЗ Роснедра, в котором расписано распределение запасов по каждой залежи и объёмом запасов, которые б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дут учтены в государственном б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ланс на каждом предприятии-недропользователе.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Недропользователи получают разрешение на ввод трансграничного месторождения в промышленное освоение только при наличии положительного заключения государственной экспе</w:t>
      </w:r>
      <w:r w:rsidRPr="007D634E">
        <w:rPr>
          <w:sz w:val="26"/>
          <w:szCs w:val="26"/>
        </w:rPr>
        <w:t>р</w:t>
      </w:r>
      <w:r w:rsidRPr="007D634E">
        <w:rPr>
          <w:sz w:val="26"/>
          <w:szCs w:val="26"/>
        </w:rPr>
        <w:t>тизы материалов подсчета запасов и технико-экономических обоснований коэффициентов извлечения.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Материалы по подсчету запасов представляются в 4-х экземплярах на бумажном нос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теле и в 1 – на электронном носителе.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Одновременно с отчетом по подсчету запасов представляются:</w:t>
      </w:r>
    </w:p>
    <w:p w:rsidR="009C2287" w:rsidRPr="007D634E" w:rsidRDefault="009C2287" w:rsidP="007D634E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копия платежного документа об оплате государственной экспертизы;</w:t>
      </w:r>
    </w:p>
    <w:p w:rsidR="009C2287" w:rsidRPr="007D634E" w:rsidRDefault="009C2287" w:rsidP="007D634E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сопроводительное письмо от недропользователей, имеющих лицензию на право пользования недрами трансграничного месторождения, с просьбой провести государственную экспертизу объекта и мотивацию представления о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чета;</w:t>
      </w:r>
    </w:p>
    <w:p w:rsidR="009C2287" w:rsidRPr="007D634E" w:rsidRDefault="009C2287" w:rsidP="007D634E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сопроводительное письмо территориального агентства по недропользованию, в котором подтверждается правильность нанесения на подсчётные планы недропользователем границ лиценз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онных участков;</w:t>
      </w:r>
    </w:p>
    <w:p w:rsidR="009C2287" w:rsidRPr="007D634E" w:rsidRDefault="009C2287" w:rsidP="007D634E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протоколы согласования владельцев лицензии соседних участков об объемах запасов подсч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танных в пределах каждого участка;</w:t>
      </w:r>
    </w:p>
    <w:p w:rsidR="009C2287" w:rsidRPr="007D634E" w:rsidRDefault="009C2287" w:rsidP="007D634E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заключение Ростехнадзора России об объёмах добычи (представляется в случае если она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изводилась).</w:t>
      </w:r>
    </w:p>
    <w:p w:rsidR="009C2287" w:rsidRPr="00204E47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204E47">
        <w:rPr>
          <w:sz w:val="26"/>
          <w:szCs w:val="26"/>
          <w:highlight w:val="yellow"/>
        </w:rPr>
        <w:lastRenderedPageBreak/>
        <w:t>Все материалы, размещённые на электронных носителях, представляются в следующем виде – текстовый материал в программе “Microsoft Word” табличный в “Microsoft Excel”.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Все материалы, представляемые на государственную экспертизу подпис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ваются руководителями предприятия и главными специалистами, отвечающим за геологическую службу.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Оплата государственной экспертизы отчётов с подсчётом запасов по месторождениям полностью расположенным в пределах государственных границ Российской Федерации производится в порядке, установленном Постановлением Правительства от 11 февраля 2005 года № 69 и Изменениями к нему от 22 января 2007 г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да №37.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Процедура проведения государственной экспертизы, оформление результ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тов, рассылка материалов осуществляется в соответствии с нормативно-методическими документами по государственной экспертизы запасов полезных и</w:t>
      </w:r>
      <w:r w:rsidRPr="007D634E">
        <w:rPr>
          <w:sz w:val="26"/>
          <w:szCs w:val="26"/>
        </w:rPr>
        <w:t>с</w:t>
      </w:r>
      <w:r w:rsidRPr="007D634E">
        <w:rPr>
          <w:sz w:val="26"/>
          <w:szCs w:val="26"/>
        </w:rPr>
        <w:t>копаемых, утвержденных в остановленном порядке.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Рассмотрение материалов по подсчету запасов проводится в присутствии всех недропользователей, участвующих в изучении и освоении трансграничного местор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ждения.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Повторная государственная экспертиза запасов трансграничных месторождений может пров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диться по инициативе органов государственного управления фондом недр или н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дропользователя в случаях:</w:t>
      </w:r>
    </w:p>
    <w:p w:rsidR="009C2287" w:rsidRPr="007D634E" w:rsidRDefault="009C2287" w:rsidP="007D634E">
      <w:pPr>
        <w:numPr>
          <w:ilvl w:val="0"/>
          <w:numId w:val="5"/>
        </w:numPr>
        <w:tabs>
          <w:tab w:val="clear" w:pos="720"/>
          <w:tab w:val="left" w:pos="-4320"/>
          <w:tab w:val="num" w:pos="54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установления в процессе дополнительных геологоразведочных работ или освоения месторождения природных и экономических факторов, существенно влия</w:t>
      </w:r>
      <w:r w:rsidRPr="007D634E">
        <w:rPr>
          <w:sz w:val="26"/>
          <w:szCs w:val="26"/>
        </w:rPr>
        <w:t>ю</w:t>
      </w:r>
      <w:r w:rsidRPr="007D634E">
        <w:rPr>
          <w:sz w:val="26"/>
          <w:szCs w:val="26"/>
        </w:rPr>
        <w:t>щих на оценку промышленного значения запасов и приводящих к необходимости переутверждения кондиций на запасы или пересмотра условий лицензионных соглаш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ний;</w:t>
      </w:r>
    </w:p>
    <w:p w:rsidR="009C2287" w:rsidRPr="007D634E" w:rsidRDefault="009C2287" w:rsidP="007D634E">
      <w:pPr>
        <w:numPr>
          <w:ilvl w:val="0"/>
          <w:numId w:val="5"/>
        </w:numPr>
        <w:tabs>
          <w:tab w:val="clear" w:pos="720"/>
          <w:tab w:val="left" w:pos="-4320"/>
          <w:tab w:val="num" w:pos="54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не подтверждения балансовых запасов или утрата промышленной ценности месторождения, прошедших ранее государственную экспертизу, в размерах, прев</w:t>
      </w:r>
      <w:r w:rsidRPr="007D634E">
        <w:rPr>
          <w:sz w:val="26"/>
          <w:szCs w:val="26"/>
        </w:rPr>
        <w:t>ы</w:t>
      </w:r>
      <w:r w:rsidRPr="007D634E">
        <w:rPr>
          <w:sz w:val="26"/>
          <w:szCs w:val="26"/>
        </w:rPr>
        <w:t>шающих действующие установленные нормативы по списанию запасов полезных ископаемых с баланса пре</w:t>
      </w:r>
      <w:r w:rsidRPr="007D634E">
        <w:rPr>
          <w:sz w:val="26"/>
          <w:szCs w:val="26"/>
        </w:rPr>
        <w:t>д</w:t>
      </w:r>
      <w:r w:rsidRPr="007D634E">
        <w:rPr>
          <w:sz w:val="26"/>
          <w:szCs w:val="26"/>
        </w:rPr>
        <w:t>приятий-недропользователей.</w:t>
      </w: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7D634E">
        <w:rPr>
          <w:b/>
          <w:sz w:val="26"/>
          <w:szCs w:val="26"/>
        </w:rPr>
        <w:t>7. Порядок представления материалов на экспертизу по месторождениям, пересекаемым государственной границей Российской Федер</w:t>
      </w:r>
      <w:r w:rsidRPr="007D634E">
        <w:rPr>
          <w:b/>
          <w:sz w:val="26"/>
          <w:szCs w:val="26"/>
        </w:rPr>
        <w:t>а</w:t>
      </w:r>
      <w:r w:rsidRPr="007D634E">
        <w:rPr>
          <w:b/>
          <w:sz w:val="26"/>
          <w:szCs w:val="26"/>
        </w:rPr>
        <w:t>ции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lastRenderedPageBreak/>
        <w:t>Основанием для проведения экспертизы запасов трансграничного месторождения, пересекаемого государственной границей, является совместное решение недропользоват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лей, владельцев лицензии на данное месторождение.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Для проведения экспертизы отчёта с подсчётом запасов и ТЭО КИН и придания легитимности принятым решениям рекомендуется проводить совместное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седания органов государственной экспертизы государств, на территории (акватории) которых расп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ложено месторождение.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До начала проведения экспертизы отчёта с подсчётом запасов и ТЭО КИН трансграничного месторождения стороны договариваются о сроках проведения экспертизы, месте проведения совместного заседания, составе комиссии, форме и с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держании заключительного протокола и документально закрепляют достигнутые договорённости.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Перед проведением пленарного заседания разрабатывается и согласовывае</w:t>
      </w:r>
      <w:r w:rsidRPr="007D634E">
        <w:rPr>
          <w:sz w:val="26"/>
          <w:szCs w:val="26"/>
        </w:rPr>
        <w:t>т</w:t>
      </w:r>
      <w:r w:rsidRPr="007D634E">
        <w:rPr>
          <w:sz w:val="26"/>
          <w:szCs w:val="26"/>
        </w:rPr>
        <w:t>ся всеми сторонами регламент проведения совместного заседания, в котором согл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совывается процедура принятия решения.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Эксперты для проведения экспертизы материалов отчёта назначаются из представителей государств, на территории которых расположено мест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рождение.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Форму, содержание и объём материалов отчёта с подсчётом запасов и ТЭО КИН по месторождениям пересекаемым государственной границей необходимо предв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рительно согласовать между недропользователями, владельцами лицензий на данное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ние.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Предварительное (рабочее) рассмотрение отчёта проводится с участием всех внештатных экспертов, авторов отчёта и представителей недропользователей. На этом заседании вырабатывается единая позиция экспертизы, что и закрепляется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ектом решения, подписанным всеми эксперт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ми.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случае, если по какому либо вопросу не было достигнуто единого мнения, стороны определяют аудиторскую компанию для проведения дополнительной эк</w:t>
      </w:r>
      <w:r w:rsidRPr="007D634E">
        <w:rPr>
          <w:sz w:val="26"/>
          <w:szCs w:val="26"/>
        </w:rPr>
        <w:t>с</w:t>
      </w:r>
      <w:r w:rsidRPr="007D634E">
        <w:rPr>
          <w:sz w:val="26"/>
          <w:szCs w:val="26"/>
        </w:rPr>
        <w:t>пертизы, реш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ние которой учитывается в проекте решения комиссии.</w:t>
      </w:r>
    </w:p>
    <w:p w:rsidR="009C2287" w:rsidRPr="007D634E" w:rsidRDefault="009C2287" w:rsidP="007D634E">
      <w:pPr>
        <w:numPr>
          <w:ilvl w:val="0"/>
          <w:numId w:val="1"/>
        </w:numPr>
        <w:tabs>
          <w:tab w:val="clear" w:pos="0"/>
          <w:tab w:val="left" w:pos="-4320"/>
          <w:tab w:val="num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Окончательным документом работы совместной экспертной комиссии до</w:t>
      </w:r>
      <w:r w:rsidRPr="007D634E">
        <w:rPr>
          <w:sz w:val="26"/>
          <w:szCs w:val="26"/>
        </w:rPr>
        <w:t>л</w:t>
      </w:r>
      <w:r w:rsidRPr="007D634E">
        <w:rPr>
          <w:sz w:val="26"/>
          <w:szCs w:val="26"/>
        </w:rPr>
        <w:t xml:space="preserve">жен стать протокол, подписанный всеми её членами и в приложении к которому прикладываются таблицы с распределением запасов по каждой залежи и объёмом запасов, </w:t>
      </w:r>
      <w:r w:rsidRPr="007D634E">
        <w:rPr>
          <w:sz w:val="26"/>
          <w:szCs w:val="26"/>
        </w:rPr>
        <w:lastRenderedPageBreak/>
        <w:t>которые будут учтены в балансах государств, на территории которых ра</w:t>
      </w:r>
      <w:r w:rsidRPr="007D634E">
        <w:rPr>
          <w:sz w:val="26"/>
          <w:szCs w:val="26"/>
        </w:rPr>
        <w:t>с</w:t>
      </w:r>
      <w:r w:rsidRPr="007D634E">
        <w:rPr>
          <w:sz w:val="26"/>
          <w:szCs w:val="26"/>
        </w:rPr>
        <w:t>положено месторожд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ние.</w:t>
      </w:r>
    </w:p>
    <w:p w:rsidR="009C2287" w:rsidRPr="007D634E" w:rsidRDefault="009C2287" w:rsidP="007D634E">
      <w:pPr>
        <w:tabs>
          <w:tab w:val="left" w:pos="-4320"/>
        </w:tabs>
        <w:spacing w:line="360" w:lineRule="auto"/>
        <w:ind w:firstLine="720"/>
        <w:jc w:val="both"/>
        <w:rPr>
          <w:sz w:val="26"/>
          <w:szCs w:val="26"/>
        </w:rPr>
      </w:pPr>
    </w:p>
    <w:p w:rsidR="009C2287" w:rsidRPr="007D634E" w:rsidRDefault="009C2287" w:rsidP="007D634E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7" w:name="_Toc177996950"/>
      <w:r w:rsidRPr="007D634E">
        <w:rPr>
          <w:b/>
          <w:sz w:val="26"/>
          <w:szCs w:val="26"/>
        </w:rPr>
        <w:t>8. Основные термины и определения</w:t>
      </w:r>
      <w:bookmarkEnd w:id="7"/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Залежь нефти и газа</w:t>
      </w:r>
      <w:r w:rsidRPr="007D634E">
        <w:rPr>
          <w:sz w:val="26"/>
          <w:szCs w:val="26"/>
        </w:rPr>
        <w:t xml:space="preserve"> – естественное промышленное скопление нефти и (или) газа в пр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ницаемых коллекторах ловушек различного типа.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 xml:space="preserve">Месторождение </w:t>
      </w:r>
      <w:r w:rsidRPr="007D634E">
        <w:rPr>
          <w:sz w:val="26"/>
          <w:szCs w:val="26"/>
        </w:rPr>
        <w:t>– пространственно ограниченный участок недр, содержащий одну или нескол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ко залежей нефти и газа, расположенных в разрезе одна над другой, проекция контуров которых на дневную поверхность полностью или частично нах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дится внутри конт</w:t>
      </w:r>
      <w:r w:rsidRPr="007D634E">
        <w:rPr>
          <w:sz w:val="26"/>
          <w:szCs w:val="26"/>
        </w:rPr>
        <w:t>у</w:t>
      </w:r>
      <w:r w:rsidRPr="007D634E">
        <w:rPr>
          <w:sz w:val="26"/>
          <w:szCs w:val="26"/>
        </w:rPr>
        <w:t>ра самой большой по площади залежи.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Контур залежи</w:t>
      </w:r>
      <w:r w:rsidRPr="007D634E">
        <w:rPr>
          <w:sz w:val="26"/>
          <w:szCs w:val="26"/>
        </w:rPr>
        <w:t xml:space="preserve"> – проекция линии водонефтяного контакта (ВНК) (газоводяного контакта (ГВК)) на г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ризонтальную поверхность.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Трансграничное месторождение</w:t>
      </w:r>
      <w:r w:rsidRPr="007D634E">
        <w:rPr>
          <w:sz w:val="26"/>
          <w:szCs w:val="26"/>
        </w:rPr>
        <w:t xml:space="preserve"> - месторождение нефти и (или) газа, контуры з</w:t>
      </w:r>
      <w:r w:rsidRPr="007D634E">
        <w:rPr>
          <w:sz w:val="26"/>
          <w:szCs w:val="26"/>
        </w:rPr>
        <w:t>а</w:t>
      </w:r>
      <w:r w:rsidRPr="007D634E">
        <w:rPr>
          <w:sz w:val="26"/>
          <w:szCs w:val="26"/>
        </w:rPr>
        <w:t>лежей которого пересекаются границами различного типа, на которых ведут работы на нефть и газ один или несколько недропольз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вателей.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 xml:space="preserve">Граница, разделяющая трансграничное месторождение – </w:t>
      </w:r>
      <w:r w:rsidRPr="007D634E">
        <w:rPr>
          <w:sz w:val="26"/>
          <w:szCs w:val="26"/>
        </w:rPr>
        <w:t>линия на географич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ской карте Российской Федерации, описываемая официально существующими географическ</w:t>
      </w:r>
      <w:r w:rsidRPr="007D634E">
        <w:rPr>
          <w:sz w:val="26"/>
          <w:szCs w:val="26"/>
        </w:rPr>
        <w:t>и</w:t>
      </w:r>
      <w:r w:rsidRPr="007D634E">
        <w:rPr>
          <w:sz w:val="26"/>
          <w:szCs w:val="26"/>
        </w:rPr>
        <w:t>ми координатами точек, которые принадлежат: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- государственным границам Российской Федерации и сопредельного государства;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- границам между субъектами Российской Федерации;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- границам лицензионных участков;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- границам других образований, имеющих различный правовой и экономический режимы.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Граница, разделяющая трансграничное месторождение или участок недр, может быть сухопутной или водной (речная, озерная, водохранилище, внутренние морские 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ды и т.п.).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sz w:val="26"/>
          <w:szCs w:val="26"/>
        </w:rPr>
        <w:t>В данных Рекомендациях не рассматриваются границы, разделяющие трансграничное месторождение или участок недр (территориальные моря и континентал</w:t>
      </w:r>
      <w:r w:rsidRPr="007D634E">
        <w:rPr>
          <w:sz w:val="26"/>
          <w:szCs w:val="26"/>
        </w:rPr>
        <w:t>ь</w:t>
      </w:r>
      <w:r w:rsidRPr="007D634E">
        <w:rPr>
          <w:sz w:val="26"/>
          <w:szCs w:val="26"/>
        </w:rPr>
        <w:t>ный шельф Российской Федерации), подпадающие под юрисдикцию международного морского права.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Сопредельные участки</w:t>
      </w:r>
      <w:r w:rsidRPr="007D634E">
        <w:rPr>
          <w:sz w:val="26"/>
          <w:szCs w:val="26"/>
        </w:rPr>
        <w:t xml:space="preserve"> - лицензионные участки, имеющие общие границы.</w:t>
      </w:r>
    </w:p>
    <w:p w:rsidR="009C2287" w:rsidRPr="007D634E" w:rsidRDefault="009C2287" w:rsidP="007D634E">
      <w:pPr>
        <w:tabs>
          <w:tab w:val="num" w:pos="561"/>
          <w:tab w:val="left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lastRenderedPageBreak/>
        <w:t xml:space="preserve">Юнитизация </w:t>
      </w:r>
      <w:r w:rsidRPr="007D634E">
        <w:rPr>
          <w:sz w:val="26"/>
          <w:szCs w:val="26"/>
        </w:rPr>
        <w:t>– объединение недропользователей для совместного пользования недрами, осво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ния и разработки месторождения или участка недр как единого объекта всеми владельцами лице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зий.</w:t>
      </w:r>
    </w:p>
    <w:p w:rsidR="009C2287" w:rsidRPr="007D634E" w:rsidRDefault="009C2287" w:rsidP="007D634E">
      <w:pPr>
        <w:tabs>
          <w:tab w:val="num" w:pos="561"/>
          <w:tab w:val="left" w:pos="900"/>
        </w:tabs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Юнитизационное соглашение</w:t>
      </w:r>
      <w:r w:rsidRPr="007D634E">
        <w:rPr>
          <w:sz w:val="26"/>
          <w:szCs w:val="26"/>
        </w:rPr>
        <w:t xml:space="preserve"> – соглашение, заключаемое недропользователями с целью совм</w:t>
      </w:r>
      <w:r w:rsidRPr="007D634E">
        <w:rPr>
          <w:sz w:val="26"/>
          <w:szCs w:val="26"/>
        </w:rPr>
        <w:t>е</w:t>
      </w:r>
      <w:r w:rsidRPr="007D634E">
        <w:rPr>
          <w:sz w:val="26"/>
          <w:szCs w:val="26"/>
        </w:rPr>
        <w:t>стного освоения месторождения или участка недр как единого объекта всеми владельцами лице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зий.</w:t>
      </w:r>
    </w:p>
    <w:p w:rsidR="009C2287" w:rsidRPr="007D634E" w:rsidRDefault="009C2287" w:rsidP="007D634E">
      <w:pPr>
        <w:widowControl w:val="0"/>
        <w:shd w:val="clear" w:color="auto" w:fill="FFFFFF"/>
        <w:tabs>
          <w:tab w:val="left" w:pos="540"/>
          <w:tab w:val="left" w:pos="70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iCs/>
          <w:spacing w:val="-4"/>
          <w:sz w:val="26"/>
          <w:szCs w:val="26"/>
        </w:rPr>
        <w:t>Лицензия</w:t>
      </w:r>
      <w:r w:rsidRPr="007D634E">
        <w:rPr>
          <w:i/>
          <w:iCs/>
          <w:spacing w:val="-4"/>
          <w:sz w:val="26"/>
          <w:szCs w:val="26"/>
        </w:rPr>
        <w:t xml:space="preserve"> – </w:t>
      </w:r>
      <w:r w:rsidRPr="007D634E">
        <w:rPr>
          <w:spacing w:val="-4"/>
          <w:sz w:val="26"/>
          <w:szCs w:val="26"/>
        </w:rPr>
        <w:t xml:space="preserve">документ, удостоверяющий право ее владельца на пользование участком </w:t>
      </w:r>
      <w:r w:rsidRPr="007D634E">
        <w:rPr>
          <w:spacing w:val="-2"/>
          <w:sz w:val="26"/>
          <w:szCs w:val="26"/>
        </w:rPr>
        <w:t>недр в границах, определённых лицензионным соглашением в соответствии с указа</w:t>
      </w:r>
      <w:r w:rsidRPr="007D634E">
        <w:rPr>
          <w:spacing w:val="-2"/>
          <w:sz w:val="26"/>
          <w:szCs w:val="26"/>
        </w:rPr>
        <w:t>н</w:t>
      </w:r>
      <w:r w:rsidRPr="007D634E">
        <w:rPr>
          <w:spacing w:val="-2"/>
          <w:sz w:val="26"/>
          <w:szCs w:val="26"/>
        </w:rPr>
        <w:t xml:space="preserve">ной целью в течение установленного </w:t>
      </w:r>
      <w:r w:rsidRPr="007D634E">
        <w:rPr>
          <w:spacing w:val="-5"/>
          <w:sz w:val="26"/>
          <w:szCs w:val="26"/>
        </w:rPr>
        <w:t>срока при соблюдении им зар</w:t>
      </w:r>
      <w:r w:rsidRPr="007D634E">
        <w:rPr>
          <w:spacing w:val="-5"/>
          <w:sz w:val="26"/>
          <w:szCs w:val="26"/>
        </w:rPr>
        <w:t>а</w:t>
      </w:r>
      <w:r w:rsidRPr="007D634E">
        <w:rPr>
          <w:spacing w:val="-5"/>
          <w:sz w:val="26"/>
          <w:szCs w:val="26"/>
        </w:rPr>
        <w:t>нее оговоренных требований и условий.</w:t>
      </w:r>
      <w:r w:rsidRPr="007D634E">
        <w:rPr>
          <w:spacing w:val="1"/>
          <w:sz w:val="26"/>
          <w:szCs w:val="26"/>
        </w:rPr>
        <w:t xml:space="preserve"> Лицензия выдается в порядке и </w:t>
      </w:r>
      <w:r w:rsidRPr="007D634E">
        <w:rPr>
          <w:spacing w:val="2"/>
          <w:sz w:val="26"/>
          <w:szCs w:val="26"/>
        </w:rPr>
        <w:t>на условиях, предусмотре</w:t>
      </w:r>
      <w:r w:rsidRPr="007D634E">
        <w:rPr>
          <w:spacing w:val="2"/>
          <w:sz w:val="26"/>
          <w:szCs w:val="26"/>
        </w:rPr>
        <w:t>н</w:t>
      </w:r>
      <w:r w:rsidRPr="007D634E">
        <w:rPr>
          <w:spacing w:val="2"/>
          <w:sz w:val="26"/>
          <w:szCs w:val="26"/>
        </w:rPr>
        <w:t>ных законодательством Российской Федер</w:t>
      </w:r>
      <w:r w:rsidRPr="007D634E">
        <w:rPr>
          <w:spacing w:val="2"/>
          <w:sz w:val="26"/>
          <w:szCs w:val="26"/>
        </w:rPr>
        <w:t>а</w:t>
      </w:r>
      <w:r w:rsidRPr="007D634E">
        <w:rPr>
          <w:spacing w:val="2"/>
          <w:sz w:val="26"/>
          <w:szCs w:val="26"/>
        </w:rPr>
        <w:t>ции.</w:t>
      </w:r>
    </w:p>
    <w:p w:rsidR="009C2287" w:rsidRPr="007D634E" w:rsidRDefault="009C2287" w:rsidP="007D634E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 xml:space="preserve">Лицензионный участок </w:t>
      </w:r>
      <w:r w:rsidRPr="007D634E">
        <w:rPr>
          <w:i/>
          <w:sz w:val="26"/>
          <w:szCs w:val="26"/>
        </w:rPr>
        <w:t xml:space="preserve">– </w:t>
      </w:r>
      <w:r w:rsidRPr="007D634E">
        <w:rPr>
          <w:sz w:val="26"/>
          <w:szCs w:val="26"/>
        </w:rPr>
        <w:t>геометризированный (ограниченный географическими координатами) блок недр в пределах территории Российской Федерации, ее континентального шельфа и искл</w:t>
      </w:r>
      <w:r w:rsidRPr="007D634E">
        <w:rPr>
          <w:sz w:val="26"/>
          <w:szCs w:val="26"/>
        </w:rPr>
        <w:t>ю</w:t>
      </w:r>
      <w:r w:rsidRPr="007D634E">
        <w:rPr>
          <w:sz w:val="26"/>
          <w:szCs w:val="26"/>
        </w:rPr>
        <w:t>чительной экономической зоны, в пределах которого в</w:t>
      </w:r>
      <w:r w:rsidRPr="007D634E">
        <w:rPr>
          <w:spacing w:val="5"/>
          <w:sz w:val="26"/>
          <w:szCs w:val="26"/>
        </w:rPr>
        <w:t xml:space="preserve">ладельцу лицензии представлено право </w:t>
      </w:r>
      <w:r w:rsidRPr="007D634E">
        <w:rPr>
          <w:spacing w:val="6"/>
          <w:sz w:val="26"/>
          <w:szCs w:val="26"/>
        </w:rPr>
        <w:t>на проведение поисковых и разведо</w:t>
      </w:r>
      <w:r w:rsidRPr="007D634E">
        <w:rPr>
          <w:spacing w:val="6"/>
          <w:sz w:val="26"/>
          <w:szCs w:val="26"/>
        </w:rPr>
        <w:t>ч</w:t>
      </w:r>
      <w:r w:rsidRPr="007D634E">
        <w:rPr>
          <w:spacing w:val="6"/>
          <w:sz w:val="26"/>
          <w:szCs w:val="26"/>
        </w:rPr>
        <w:t xml:space="preserve">ных работ, а </w:t>
      </w:r>
      <w:r w:rsidRPr="007D634E">
        <w:rPr>
          <w:sz w:val="26"/>
          <w:szCs w:val="26"/>
        </w:rPr>
        <w:t>также добычи углев</w:t>
      </w:r>
      <w:r w:rsidRPr="007D634E">
        <w:rPr>
          <w:sz w:val="26"/>
          <w:szCs w:val="26"/>
        </w:rPr>
        <w:t>о</w:t>
      </w:r>
      <w:r w:rsidRPr="007D634E">
        <w:rPr>
          <w:sz w:val="26"/>
          <w:szCs w:val="26"/>
        </w:rPr>
        <w:t>дородного сырья.</w:t>
      </w:r>
    </w:p>
    <w:p w:rsidR="009C2287" w:rsidRPr="007D634E" w:rsidRDefault="009C2287" w:rsidP="007D634E">
      <w:pPr>
        <w:spacing w:line="360" w:lineRule="auto"/>
        <w:ind w:firstLine="720"/>
        <w:jc w:val="both"/>
        <w:rPr>
          <w:sz w:val="26"/>
          <w:szCs w:val="26"/>
        </w:rPr>
      </w:pPr>
      <w:r w:rsidRPr="007D634E">
        <w:rPr>
          <w:b/>
          <w:i/>
          <w:sz w:val="26"/>
          <w:szCs w:val="26"/>
        </w:rPr>
        <w:t>Лицензионное соглашение</w:t>
      </w:r>
      <w:r w:rsidRPr="007D634E">
        <w:rPr>
          <w:i/>
          <w:sz w:val="26"/>
          <w:szCs w:val="26"/>
        </w:rPr>
        <w:t xml:space="preserve"> – </w:t>
      </w:r>
      <w:r w:rsidRPr="007D634E">
        <w:rPr>
          <w:sz w:val="26"/>
          <w:szCs w:val="26"/>
        </w:rPr>
        <w:t>документ, являющийся</w:t>
      </w:r>
      <w:r w:rsidRPr="007D634E">
        <w:rPr>
          <w:i/>
          <w:sz w:val="26"/>
          <w:szCs w:val="26"/>
        </w:rPr>
        <w:t xml:space="preserve"> </w:t>
      </w:r>
      <w:r w:rsidRPr="007D634E">
        <w:rPr>
          <w:sz w:val="26"/>
          <w:szCs w:val="26"/>
        </w:rPr>
        <w:t>неотъемлемой частью лице</w:t>
      </w:r>
      <w:r w:rsidRPr="007D634E">
        <w:rPr>
          <w:sz w:val="26"/>
          <w:szCs w:val="26"/>
        </w:rPr>
        <w:t>н</w:t>
      </w:r>
      <w:r w:rsidRPr="007D634E">
        <w:rPr>
          <w:sz w:val="26"/>
          <w:szCs w:val="26"/>
        </w:rPr>
        <w:t>зии, содержащей описание условий и требований при пользовании недрами.</w:t>
      </w:r>
    </w:p>
    <w:p w:rsidR="00287D9C" w:rsidRPr="007D634E" w:rsidRDefault="00287D9C" w:rsidP="007D634E">
      <w:pPr>
        <w:spacing w:line="360" w:lineRule="auto"/>
        <w:ind w:firstLine="720"/>
        <w:rPr>
          <w:sz w:val="26"/>
          <w:szCs w:val="26"/>
        </w:rPr>
      </w:pPr>
    </w:p>
    <w:sectPr w:rsidR="00287D9C" w:rsidRPr="007D634E">
      <w:footerReference w:type="even" r:id="rId8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DB" w:rsidRDefault="006F6BDB">
      <w:r>
        <w:separator/>
      </w:r>
    </w:p>
  </w:endnote>
  <w:endnote w:type="continuationSeparator" w:id="0">
    <w:p w:rsidR="006F6BDB" w:rsidRDefault="006F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4E" w:rsidRDefault="007D6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34E" w:rsidRDefault="007D63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DB" w:rsidRDefault="006F6BDB">
      <w:r>
        <w:separator/>
      </w:r>
    </w:p>
  </w:footnote>
  <w:footnote w:type="continuationSeparator" w:id="0">
    <w:p w:rsidR="006F6BDB" w:rsidRDefault="006F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0F"/>
    <w:multiLevelType w:val="hybridMultilevel"/>
    <w:tmpl w:val="3722A1EC"/>
    <w:lvl w:ilvl="0" w:tplc="EDAEC574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 w:tplc="4FFC011E">
      <w:start w:val="1"/>
      <w:numFmt w:val="russianLower"/>
      <w:lvlText w:val="%2)"/>
      <w:lvlJc w:val="left"/>
      <w:pPr>
        <w:tabs>
          <w:tab w:val="num" w:pos="0"/>
        </w:tabs>
        <w:ind w:left="0" w:firstLine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A68BF"/>
    <w:multiLevelType w:val="hybridMultilevel"/>
    <w:tmpl w:val="7F349264"/>
    <w:lvl w:ilvl="0" w:tplc="9B208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57C3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35135"/>
    <w:multiLevelType w:val="hybridMultilevel"/>
    <w:tmpl w:val="314C7ABA"/>
    <w:lvl w:ilvl="0" w:tplc="02EA2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C011E">
      <w:start w:val="1"/>
      <w:numFmt w:val="russianLower"/>
      <w:lvlText w:val="%2)"/>
      <w:lvlJc w:val="left"/>
      <w:pPr>
        <w:tabs>
          <w:tab w:val="num" w:pos="0"/>
        </w:tabs>
        <w:ind w:left="0" w:firstLine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12B94"/>
    <w:multiLevelType w:val="hybridMultilevel"/>
    <w:tmpl w:val="F42A7FAA"/>
    <w:lvl w:ilvl="0" w:tplc="02EA2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338FA"/>
    <w:multiLevelType w:val="hybridMultilevel"/>
    <w:tmpl w:val="F6107C5E"/>
    <w:lvl w:ilvl="0" w:tplc="02EA2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D234F"/>
    <w:multiLevelType w:val="hybridMultilevel"/>
    <w:tmpl w:val="976A4C0A"/>
    <w:lvl w:ilvl="0" w:tplc="02EA2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87"/>
    <w:rsid w:val="0001707E"/>
    <w:rsid w:val="000259EC"/>
    <w:rsid w:val="00034006"/>
    <w:rsid w:val="00035DD1"/>
    <w:rsid w:val="0004158E"/>
    <w:rsid w:val="00041A8B"/>
    <w:rsid w:val="00042288"/>
    <w:rsid w:val="00056F88"/>
    <w:rsid w:val="000709C9"/>
    <w:rsid w:val="00097226"/>
    <w:rsid w:val="000A0169"/>
    <w:rsid w:val="000C4414"/>
    <w:rsid w:val="000C474A"/>
    <w:rsid w:val="000D5E22"/>
    <w:rsid w:val="0010092D"/>
    <w:rsid w:val="00101BE5"/>
    <w:rsid w:val="0011798D"/>
    <w:rsid w:val="001200B0"/>
    <w:rsid w:val="001244D7"/>
    <w:rsid w:val="001269AA"/>
    <w:rsid w:val="00127ECC"/>
    <w:rsid w:val="001305D0"/>
    <w:rsid w:val="001331F2"/>
    <w:rsid w:val="00140B06"/>
    <w:rsid w:val="001570A3"/>
    <w:rsid w:val="001578CD"/>
    <w:rsid w:val="0016189E"/>
    <w:rsid w:val="0018630E"/>
    <w:rsid w:val="001933F2"/>
    <w:rsid w:val="001A584E"/>
    <w:rsid w:val="001A7438"/>
    <w:rsid w:val="001B34C6"/>
    <w:rsid w:val="001B3AFE"/>
    <w:rsid w:val="001B6627"/>
    <w:rsid w:val="001F3A29"/>
    <w:rsid w:val="00202603"/>
    <w:rsid w:val="00204E47"/>
    <w:rsid w:val="00211BA9"/>
    <w:rsid w:val="002133EB"/>
    <w:rsid w:val="00222B8C"/>
    <w:rsid w:val="00235B33"/>
    <w:rsid w:val="002750D1"/>
    <w:rsid w:val="0027525B"/>
    <w:rsid w:val="0028732A"/>
    <w:rsid w:val="00287D9C"/>
    <w:rsid w:val="00295165"/>
    <w:rsid w:val="00297A64"/>
    <w:rsid w:val="002A66E8"/>
    <w:rsid w:val="002A7C7E"/>
    <w:rsid w:val="002C1710"/>
    <w:rsid w:val="002D2E42"/>
    <w:rsid w:val="002D3E9A"/>
    <w:rsid w:val="002D78B4"/>
    <w:rsid w:val="002E2872"/>
    <w:rsid w:val="002E56D9"/>
    <w:rsid w:val="002F461E"/>
    <w:rsid w:val="002F7A82"/>
    <w:rsid w:val="00307E22"/>
    <w:rsid w:val="00316C7E"/>
    <w:rsid w:val="003209BD"/>
    <w:rsid w:val="00325388"/>
    <w:rsid w:val="003339C8"/>
    <w:rsid w:val="00336555"/>
    <w:rsid w:val="00342E98"/>
    <w:rsid w:val="0035695B"/>
    <w:rsid w:val="003A10BB"/>
    <w:rsid w:val="003A334F"/>
    <w:rsid w:val="003A5FA4"/>
    <w:rsid w:val="003B6E10"/>
    <w:rsid w:val="003C3BC4"/>
    <w:rsid w:val="003C3E40"/>
    <w:rsid w:val="003D1CDB"/>
    <w:rsid w:val="004379A5"/>
    <w:rsid w:val="00454DF9"/>
    <w:rsid w:val="00456B2E"/>
    <w:rsid w:val="00467898"/>
    <w:rsid w:val="0048299C"/>
    <w:rsid w:val="00485E72"/>
    <w:rsid w:val="004A5895"/>
    <w:rsid w:val="004C35D0"/>
    <w:rsid w:val="004C5B65"/>
    <w:rsid w:val="004D21EF"/>
    <w:rsid w:val="004F2A1F"/>
    <w:rsid w:val="00524648"/>
    <w:rsid w:val="0053038E"/>
    <w:rsid w:val="0053237B"/>
    <w:rsid w:val="005357BE"/>
    <w:rsid w:val="00544A80"/>
    <w:rsid w:val="005463B0"/>
    <w:rsid w:val="005471CE"/>
    <w:rsid w:val="00561576"/>
    <w:rsid w:val="005714D4"/>
    <w:rsid w:val="005727ED"/>
    <w:rsid w:val="005942ED"/>
    <w:rsid w:val="005968F5"/>
    <w:rsid w:val="00597827"/>
    <w:rsid w:val="005A2390"/>
    <w:rsid w:val="005A2952"/>
    <w:rsid w:val="005B62C3"/>
    <w:rsid w:val="005C5D87"/>
    <w:rsid w:val="005D3E3D"/>
    <w:rsid w:val="005D58F7"/>
    <w:rsid w:val="005D6C42"/>
    <w:rsid w:val="005D7DF6"/>
    <w:rsid w:val="00620D09"/>
    <w:rsid w:val="006310D7"/>
    <w:rsid w:val="00644512"/>
    <w:rsid w:val="00653F76"/>
    <w:rsid w:val="00664824"/>
    <w:rsid w:val="00664A75"/>
    <w:rsid w:val="00674D89"/>
    <w:rsid w:val="00685B77"/>
    <w:rsid w:val="006B39B3"/>
    <w:rsid w:val="006B7EA1"/>
    <w:rsid w:val="006C48A5"/>
    <w:rsid w:val="006D5C0F"/>
    <w:rsid w:val="006D60FB"/>
    <w:rsid w:val="006F4A67"/>
    <w:rsid w:val="006F6BDB"/>
    <w:rsid w:val="00714701"/>
    <w:rsid w:val="007215D7"/>
    <w:rsid w:val="00722D9F"/>
    <w:rsid w:val="00736D6A"/>
    <w:rsid w:val="0074227B"/>
    <w:rsid w:val="00753FE6"/>
    <w:rsid w:val="00753FF4"/>
    <w:rsid w:val="00756A37"/>
    <w:rsid w:val="007624A0"/>
    <w:rsid w:val="00792408"/>
    <w:rsid w:val="00795BCF"/>
    <w:rsid w:val="007A7A9E"/>
    <w:rsid w:val="007B1C06"/>
    <w:rsid w:val="007B28FC"/>
    <w:rsid w:val="007B4387"/>
    <w:rsid w:val="007B4ECB"/>
    <w:rsid w:val="007C646A"/>
    <w:rsid w:val="007D634E"/>
    <w:rsid w:val="007E1230"/>
    <w:rsid w:val="00804AC3"/>
    <w:rsid w:val="00827C33"/>
    <w:rsid w:val="008309FD"/>
    <w:rsid w:val="00830B31"/>
    <w:rsid w:val="00841616"/>
    <w:rsid w:val="00851472"/>
    <w:rsid w:val="00852B55"/>
    <w:rsid w:val="00853E2D"/>
    <w:rsid w:val="00864471"/>
    <w:rsid w:val="008648A2"/>
    <w:rsid w:val="00864F44"/>
    <w:rsid w:val="008773B1"/>
    <w:rsid w:val="008833F1"/>
    <w:rsid w:val="008C367F"/>
    <w:rsid w:val="008E479E"/>
    <w:rsid w:val="008E7877"/>
    <w:rsid w:val="008F3075"/>
    <w:rsid w:val="008F595B"/>
    <w:rsid w:val="00904DE6"/>
    <w:rsid w:val="0091380E"/>
    <w:rsid w:val="0091753F"/>
    <w:rsid w:val="009340F1"/>
    <w:rsid w:val="009343D8"/>
    <w:rsid w:val="00944C86"/>
    <w:rsid w:val="00950057"/>
    <w:rsid w:val="00957633"/>
    <w:rsid w:val="00985004"/>
    <w:rsid w:val="00993494"/>
    <w:rsid w:val="009A7246"/>
    <w:rsid w:val="009B59BE"/>
    <w:rsid w:val="009B6ACC"/>
    <w:rsid w:val="009C2287"/>
    <w:rsid w:val="009D5AE0"/>
    <w:rsid w:val="009E0597"/>
    <w:rsid w:val="00A113CE"/>
    <w:rsid w:val="00A2767C"/>
    <w:rsid w:val="00A42F20"/>
    <w:rsid w:val="00A47A41"/>
    <w:rsid w:val="00A52E1F"/>
    <w:rsid w:val="00A6359F"/>
    <w:rsid w:val="00A65C92"/>
    <w:rsid w:val="00A732E2"/>
    <w:rsid w:val="00AA238E"/>
    <w:rsid w:val="00AA26D3"/>
    <w:rsid w:val="00AB2DE7"/>
    <w:rsid w:val="00AD40F8"/>
    <w:rsid w:val="00AE02AC"/>
    <w:rsid w:val="00AE2229"/>
    <w:rsid w:val="00AE3AA8"/>
    <w:rsid w:val="00AE5722"/>
    <w:rsid w:val="00AF25AB"/>
    <w:rsid w:val="00B241AD"/>
    <w:rsid w:val="00B27DC5"/>
    <w:rsid w:val="00B42135"/>
    <w:rsid w:val="00B46C34"/>
    <w:rsid w:val="00B52049"/>
    <w:rsid w:val="00B5351D"/>
    <w:rsid w:val="00B65A57"/>
    <w:rsid w:val="00B87B55"/>
    <w:rsid w:val="00BB6D8E"/>
    <w:rsid w:val="00BD29F5"/>
    <w:rsid w:val="00BF12F3"/>
    <w:rsid w:val="00BF1A1E"/>
    <w:rsid w:val="00BF5975"/>
    <w:rsid w:val="00C051EC"/>
    <w:rsid w:val="00C269A0"/>
    <w:rsid w:val="00C37831"/>
    <w:rsid w:val="00C44CE7"/>
    <w:rsid w:val="00C615D4"/>
    <w:rsid w:val="00C652AE"/>
    <w:rsid w:val="00C707EC"/>
    <w:rsid w:val="00C70B5E"/>
    <w:rsid w:val="00C7660E"/>
    <w:rsid w:val="00C9222D"/>
    <w:rsid w:val="00C951F3"/>
    <w:rsid w:val="00CA40CE"/>
    <w:rsid w:val="00CA7438"/>
    <w:rsid w:val="00CC1725"/>
    <w:rsid w:val="00CC4E10"/>
    <w:rsid w:val="00CD11FC"/>
    <w:rsid w:val="00CE3A39"/>
    <w:rsid w:val="00CF0D2E"/>
    <w:rsid w:val="00D07DE8"/>
    <w:rsid w:val="00D15493"/>
    <w:rsid w:val="00D15E47"/>
    <w:rsid w:val="00D22036"/>
    <w:rsid w:val="00D22693"/>
    <w:rsid w:val="00D52AA4"/>
    <w:rsid w:val="00D558DF"/>
    <w:rsid w:val="00D57CE6"/>
    <w:rsid w:val="00D603C4"/>
    <w:rsid w:val="00D62151"/>
    <w:rsid w:val="00D70A44"/>
    <w:rsid w:val="00D80A10"/>
    <w:rsid w:val="00D8571C"/>
    <w:rsid w:val="00DA1D0E"/>
    <w:rsid w:val="00DB5591"/>
    <w:rsid w:val="00DC1E9E"/>
    <w:rsid w:val="00DC6FB5"/>
    <w:rsid w:val="00DF458C"/>
    <w:rsid w:val="00DF6FFB"/>
    <w:rsid w:val="00E0433B"/>
    <w:rsid w:val="00E26466"/>
    <w:rsid w:val="00E26CA1"/>
    <w:rsid w:val="00E31393"/>
    <w:rsid w:val="00E46AE0"/>
    <w:rsid w:val="00E56648"/>
    <w:rsid w:val="00E57D2F"/>
    <w:rsid w:val="00E755F2"/>
    <w:rsid w:val="00E9625D"/>
    <w:rsid w:val="00EA293E"/>
    <w:rsid w:val="00EA4FF9"/>
    <w:rsid w:val="00EB04FC"/>
    <w:rsid w:val="00EC3CE8"/>
    <w:rsid w:val="00EC3F73"/>
    <w:rsid w:val="00ED0C46"/>
    <w:rsid w:val="00ED0F74"/>
    <w:rsid w:val="00ED337C"/>
    <w:rsid w:val="00EE13E4"/>
    <w:rsid w:val="00EF356E"/>
    <w:rsid w:val="00EF7AFC"/>
    <w:rsid w:val="00F05018"/>
    <w:rsid w:val="00F07208"/>
    <w:rsid w:val="00F33148"/>
    <w:rsid w:val="00F33F60"/>
    <w:rsid w:val="00F44CF5"/>
    <w:rsid w:val="00F51C13"/>
    <w:rsid w:val="00F60BF4"/>
    <w:rsid w:val="00F67587"/>
    <w:rsid w:val="00F8726C"/>
    <w:rsid w:val="00F9677B"/>
    <w:rsid w:val="00FC46B8"/>
    <w:rsid w:val="00FE1FC4"/>
    <w:rsid w:val="00FE581B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22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2287"/>
  </w:style>
  <w:style w:type="paragraph" w:styleId="a5">
    <w:name w:val="Normal (Web)"/>
    <w:basedOn w:val="a"/>
    <w:rsid w:val="009C2287"/>
    <w:pPr>
      <w:spacing w:before="100" w:beforeAutospacing="1" w:after="100" w:afterAutospacing="1"/>
    </w:pPr>
  </w:style>
  <w:style w:type="paragraph" w:styleId="2">
    <w:name w:val="Body Text Indent 2"/>
    <w:basedOn w:val="a"/>
    <w:rsid w:val="00A42F20"/>
    <w:pPr>
      <w:spacing w:before="118"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A42F2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22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2287"/>
  </w:style>
  <w:style w:type="paragraph" w:styleId="a5">
    <w:name w:val="Normal (Web)"/>
    <w:basedOn w:val="a"/>
    <w:rsid w:val="009C2287"/>
    <w:pPr>
      <w:spacing w:before="100" w:beforeAutospacing="1" w:after="100" w:afterAutospacing="1"/>
    </w:pPr>
  </w:style>
  <w:style w:type="paragraph" w:styleId="2">
    <w:name w:val="Body Text Indent 2"/>
    <w:basedOn w:val="a"/>
    <w:rsid w:val="00A42F20"/>
    <w:pPr>
      <w:spacing w:before="118"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A42F2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использованию протоколом МПР России от 12</vt:lpstr>
    </vt:vector>
  </TitlesOfParts>
  <Company/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использованию протоколом МПР России от 12</dc:title>
  <dc:creator>GEG</dc:creator>
  <cp:lastModifiedBy>Пользователь Windows</cp:lastModifiedBy>
  <cp:revision>2</cp:revision>
  <dcterms:created xsi:type="dcterms:W3CDTF">2013-03-14T04:24:00Z</dcterms:created>
  <dcterms:modified xsi:type="dcterms:W3CDTF">2013-03-14T04:24:00Z</dcterms:modified>
</cp:coreProperties>
</file>