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33" w:rsidRDefault="004C5B33">
      <w:pPr>
        <w:pStyle w:val="aa"/>
      </w:pPr>
      <w:bookmarkStart w:id="0" w:name="_GoBack"/>
      <w:bookmarkEnd w:id="0"/>
      <w:r>
        <w:t>См. графическую копию официальной публикации</w:t>
      </w:r>
    </w:p>
    <w:p w:rsidR="004C5B33" w:rsidRDefault="004C5B33">
      <w:pPr>
        <w:pStyle w:val="1"/>
      </w:pPr>
      <w:r>
        <w:t>Распоряжение Правительства РФ от 16 марта 2000 г. N 389-р</w:t>
      </w:r>
    </w:p>
    <w:p w:rsidR="004C5B33" w:rsidRDefault="004C5B33"/>
    <w:p w:rsidR="004C5B33" w:rsidRDefault="004C5B33">
      <w:r>
        <w:t>В целях повышения устойчивости развития топливно-энергетического комплекса страны:</w:t>
      </w:r>
    </w:p>
    <w:p w:rsidR="004C5B33" w:rsidRDefault="004C5B33">
      <w:bookmarkStart w:id="1" w:name="sub_1"/>
      <w:r>
        <w:t>1. Минтопэнерго России, Минатому России, Минэкономики России и Миннауки России совместно с Российской академией наук с участием заинтересованных органов исполнительной власти и организаций подготовить проект основных положений Энергетической стратегии России на период до 2020 года и до 1 апреля 2000 г. представить его в Правительство Российской Федерации.</w:t>
      </w:r>
    </w:p>
    <w:p w:rsidR="004C5B33" w:rsidRDefault="004C5B33">
      <w:bookmarkStart w:id="2" w:name="sub_2"/>
      <w:bookmarkEnd w:id="1"/>
      <w:r>
        <w:t>2. Минфину России совместно с МНС России, Минтопэнерго России, Минэкономики России и МПР России при рассмотрении проекта второй части Налогового кодекса Российской Федерации в Федеральном Собрании Российской Федерации обеспечить переход к новой системе налогообложения при разработке месторождений углеводородного сырья, состоящей из трех основных компонентов: платы за пользование недрами, налога на прибыль и налога на дополнительный доход от добычи углеводородов.</w:t>
      </w:r>
    </w:p>
    <w:p w:rsidR="004C5B33" w:rsidRDefault="004C5B33">
      <w:bookmarkStart w:id="3" w:name="sub_3"/>
      <w:bookmarkEnd w:id="2"/>
      <w:r>
        <w:t>3. Минэкономики России, Минфину России, МАП России, МПР России, Минтопэнерго России и МНС России подготовить и во II квартале 2000 г. представить в Правительство Российской Федерации предложения о мерах государственной поддержки при разработке новых угольных, нефтяных, газовых и газоконденсатных месторождений, а также применении технологий, повышающих извлечение нефти и газового конденсата из недр.</w:t>
      </w:r>
    </w:p>
    <w:p w:rsidR="004C5B33" w:rsidRDefault="004C5B33">
      <w:bookmarkStart w:id="4" w:name="sub_4"/>
      <w:bookmarkEnd w:id="3"/>
      <w:r>
        <w:t>4. Минтопэнерго России, Минэкономики России, МПР России и МАП России подготовить и во II квартале 2000 г. представить в Правительство Российской Федерации предложения о поддержке развития нефтегазовых и угольных компаний, не входящих в основные компании, при разработке месторождений углеводородного сырья и угольных месторождений.</w:t>
      </w:r>
    </w:p>
    <w:p w:rsidR="004C5B33" w:rsidRDefault="004C5B33">
      <w:bookmarkStart w:id="5" w:name="sub_5"/>
      <w:bookmarkEnd w:id="4"/>
      <w:r>
        <w:t>5. МПР России, Минтопэнерго России совместно с другими федеральными органами исполнительной власти обеспечить контроль за выполнением лицензионных соглашений, прежде всего в части обеспечения проектных уровней добычи углеводородного сырья в разрезе каждого месторождения и сроков ввода их в эксплуатацию, вплоть до прекращения права пользования недрами при необеспечении условий этих соглашений. Ежеквартально информировать Правительство Российской Федерации по вопросу выполнения лицензионных соглашений.</w:t>
      </w:r>
    </w:p>
    <w:bookmarkEnd w:id="5"/>
    <w:p w:rsidR="004C5B33" w:rsidRDefault="004C5B33"/>
    <w:p w:rsidR="004C5B33" w:rsidRDefault="004C5B33">
      <w:pPr>
        <w:pStyle w:val="aa"/>
        <w:ind w:left="139"/>
      </w:pPr>
      <w:bookmarkStart w:id="6" w:name="sub_496582156"/>
      <w:r>
        <w:t>Об усилении контроля за выполнением условий недропользования на объектах добычи углеводородного сырья см. приказ МПР РФ от 3 апреля 2001 г. N 279</w:t>
      </w:r>
    </w:p>
    <w:bookmarkEnd w:id="6"/>
    <w:p w:rsidR="004C5B33" w:rsidRDefault="004C5B33">
      <w:pPr>
        <w:pStyle w:val="aa"/>
      </w:pPr>
    </w:p>
    <w:p w:rsidR="004C5B33" w:rsidRDefault="004C5B33">
      <w:pPr>
        <w:pStyle w:val="aa"/>
        <w:ind w:left="139"/>
      </w:pPr>
      <w:r>
        <w:t>О ходе выполнения настоящего распоряжения см. приказ МПР РФ от 10 апреля 2001 г. N 312</w:t>
      </w:r>
    </w:p>
    <w:p w:rsidR="004C5B33" w:rsidRDefault="004C5B33">
      <w:pPr>
        <w:pStyle w:val="aa"/>
      </w:pPr>
    </w:p>
    <w:p w:rsidR="004C5B33" w:rsidRDefault="004C5B33">
      <w:bookmarkStart w:id="7" w:name="sub_6"/>
      <w:r>
        <w:t>6. Минтопэнерго России, Минэкономики России, МАП России и ФЭК России совместно с открытым акционерным обществом "Газпром" подготовить и во II квартале 2000 г. представить в Правительство Российской Федерации предложения, обеспечивающие равный доступ производителей газа к газотранспортным системам.</w:t>
      </w:r>
    </w:p>
    <w:p w:rsidR="004C5B33" w:rsidRDefault="004C5B33">
      <w:bookmarkStart w:id="8" w:name="sub_7"/>
      <w:bookmarkEnd w:id="7"/>
      <w:r>
        <w:t>7. ФЭК России совместно с Минэкономики России и Минтопэнерго России разработать и во II квартале 2000 г. утвердить методологию расчета тарифов на транспортировку газа по магистральным газопроводам, предусмотрев введение их в действие с 1 января 2001 г.</w:t>
      </w:r>
    </w:p>
    <w:bookmarkEnd w:id="8"/>
    <w:p w:rsidR="004C5B33" w:rsidRDefault="004C5B33"/>
    <w:p w:rsidR="004C5B33" w:rsidRDefault="004C5B33">
      <w:pPr>
        <w:pStyle w:val="aa"/>
        <w:ind w:left="139"/>
      </w:pPr>
      <w:bookmarkStart w:id="9" w:name="sub_496586028"/>
      <w:r>
        <w:t>См. Методику расчета тарифов на услуги по транспортировке газа по магистральным газопроводам, утвержденную приказом Федеральной службы по тарифам от 23 августа 2005 г. N 388-э/1</w:t>
      </w:r>
    </w:p>
    <w:bookmarkEnd w:id="9"/>
    <w:p w:rsidR="004C5B33" w:rsidRDefault="004C5B33">
      <w:pPr>
        <w:pStyle w:val="aa"/>
      </w:pPr>
    </w:p>
    <w:p w:rsidR="004C5B33" w:rsidRDefault="004C5B33">
      <w:bookmarkStart w:id="10" w:name="sub_8"/>
      <w:r>
        <w:t>8. Минэкономики России, Минтопэнерго России, МАП России, Минторгу России, МНС России и Минфину России завершить подготовку и представить в Правительство Российской Федерации проект решения о формировании организованного стандартного рынка (фьючерсных) контрактов на нефть и продукты ее переработки.</w:t>
      </w:r>
    </w:p>
    <w:p w:rsidR="004C5B33" w:rsidRDefault="004C5B33">
      <w:bookmarkStart w:id="11" w:name="sub_9"/>
      <w:bookmarkEnd w:id="10"/>
      <w:r>
        <w:t>9. Минторгу России, Минэкономики России, МАП России, Минтопэнерго России, Минфину России и ГТК России подготовить и внести в Правительство Российской Федерации проект решения о механизме изменения ставок вывозных таможенных пошлин на нефть сырую, величины которых устанавливаются в зависимости от ее цены на мировом рынке нефтяного сырья.</w:t>
      </w:r>
    </w:p>
    <w:p w:rsidR="004C5B33" w:rsidRDefault="004C5B33">
      <w:bookmarkStart w:id="12" w:name="sub_10"/>
      <w:bookmarkEnd w:id="11"/>
      <w:r>
        <w:t>10. Минтопэнерго России совместно с Минэкономики России, Минфином России, МПР России, нефтяными и газоперерабатывающими организациями разработать и до 1 октября 2000 г. утвердить программу "Попутный нефтяной газ".</w:t>
      </w:r>
    </w:p>
    <w:p w:rsidR="004C5B33" w:rsidRDefault="004C5B33">
      <w:bookmarkStart w:id="13" w:name="sub_11"/>
      <w:bookmarkEnd w:id="12"/>
      <w:r>
        <w:t xml:space="preserve">11. Минтопэнерго России, Минэкономики России и ФЭК России с участием Российского </w:t>
      </w:r>
      <w:r>
        <w:lastRenderedPageBreak/>
        <w:t>акционерного общества "ЕЭС России" и открытого акционерного общества "Газпром" в I полугодии 2000 г. разработать и представить в Правительство Российской Федерации план мероприятий по опережающему вовлечению угля для нужд электростанций в топливно-энергетический баланс страны.</w:t>
      </w:r>
    </w:p>
    <w:p w:rsidR="004C5B33" w:rsidRDefault="004C5B33">
      <w:bookmarkStart w:id="14" w:name="sub_12"/>
      <w:bookmarkEnd w:id="13"/>
      <w:r>
        <w:t>12. ФЭК России и МАП России совместно с Минтопэнерго России, Минатомом России и Минэкономики России с участием Российского акционерного общества "ЕЭС России" и концерна "Росэнергоатом" определить технически реализуемые и экономически целесообразные принципы функционирования федерального (общероссийского) оптового рынка электроэнергии (мощности) и зональных оптовых рынков электроэнергии (мощности) и во II квартале 2000 г. представить доклад в Правительство Российской Федерации.</w:t>
      </w:r>
    </w:p>
    <w:p w:rsidR="004C5B33" w:rsidRDefault="004C5B33">
      <w:bookmarkStart w:id="15" w:name="sub_13"/>
      <w:bookmarkEnd w:id="14"/>
      <w:r>
        <w:t>13. Минтопэнерго России, Минатому России, ФЭК России и Минэкономики России с участием Российского акционерного общества "ЕЭС России" в первом полугодии 2000 г. разработать и представить в Правительство Российской Федерации программу поэтапного обновления энергетического оборудования и строительства энергообъектов межрегионального значения и атомных электростанций.</w:t>
      </w:r>
    </w:p>
    <w:p w:rsidR="004C5B33" w:rsidRDefault="004C5B33">
      <w:bookmarkStart w:id="16" w:name="sub_14"/>
      <w:bookmarkEnd w:id="15"/>
      <w:r>
        <w:t>14. Минатому России и Минэкономики России с участием концерна "Росэнергоатом" разработать и во II квартале 2000 г. представить в Правительство Российской Федерации план мероприятий по реализации среднесрочной программы по продлению срока эксплуатации действующих мощностей атомных электростанций.</w:t>
      </w:r>
    </w:p>
    <w:p w:rsidR="004C5B33" w:rsidRDefault="004C5B33">
      <w:bookmarkStart w:id="17" w:name="sub_15"/>
      <w:bookmarkEnd w:id="16"/>
      <w:r>
        <w:t>15. Минтопэнерго России, Минатому России и Минэкономики России с участием Российского акционерного общества "ЕЭС России" и организаций энергетического машиностроения в целях ликвидации отставания российской энергетики в создании и использовании высокотехнологического оборудования электростанций (включая газотурбинные и парогазовые установки) и электрических сетей, а также организации производства импортозамещающей продукции разработать и в первом полугодии 2000 г. представить в Правительство Российской Федерации среднесрочную инновационную программу электроэнергетики.</w:t>
      </w:r>
    </w:p>
    <w:p w:rsidR="004C5B33" w:rsidRDefault="004C5B33">
      <w:bookmarkStart w:id="18" w:name="sub_16"/>
      <w:bookmarkEnd w:id="17"/>
      <w:r>
        <w:t>16. Минэкономики России, Минтопэнерго России, Минатому России и Минфину России совместно с заинтересованными федеральными органами исполнительной власти во II квартале 2000 г. подготовить предложения об использовании средств Бюджета развития Российской Федерации для финансирования крупных инвестиционных проектов топливно-энергетического комплекса.</w:t>
      </w:r>
    </w:p>
    <w:p w:rsidR="004C5B33" w:rsidRDefault="004C5B33">
      <w:bookmarkStart w:id="19" w:name="sub_17"/>
      <w:bookmarkEnd w:id="18"/>
      <w:r>
        <w:t>17. Минтопэнерго России совместно с Минэкономики России, Минфином России, Миннауки России и другими заинтересованными федеральными органами исполнительной власти в первом полугодии 2000 г. представить в Правительство Российской Федерации предложения об уточнении федеральной целевой программы "Энергосбережение России" и формировании на федеральном уровне средств для ее реализации.</w:t>
      </w:r>
    </w:p>
    <w:bookmarkEnd w:id="19"/>
    <w:p w:rsidR="004C5B33" w:rsidRDefault="004C5B33"/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4C5B33" w:rsidRPr="004C5B33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5B33" w:rsidRPr="004C5B33" w:rsidRDefault="004C5B33">
            <w:pPr>
              <w:pStyle w:val="ac"/>
            </w:pPr>
            <w:r w:rsidRPr="004C5B33">
              <w:t xml:space="preserve">Председатель Правительства </w:t>
            </w:r>
            <w:r w:rsidRPr="004C5B33">
              <w:br/>
              <w:t xml:space="preserve">Российской Федерации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C5B33" w:rsidRPr="004C5B33" w:rsidRDefault="004C5B33">
            <w:pPr>
              <w:pStyle w:val="ae"/>
            </w:pPr>
            <w:r w:rsidRPr="004C5B33">
              <w:t>В. Путин</w:t>
            </w:r>
          </w:p>
        </w:tc>
      </w:tr>
    </w:tbl>
    <w:p w:rsidR="004C5B33" w:rsidRDefault="004C5B33"/>
    <w:p w:rsidR="004C5B33" w:rsidRDefault="004C5B33">
      <w:pPr>
        <w:pStyle w:val="afb"/>
      </w:pPr>
      <w:r>
        <w:t>Москва</w:t>
      </w:r>
    </w:p>
    <w:p w:rsidR="004C5B33" w:rsidRDefault="004C5B33">
      <w:pPr>
        <w:pStyle w:val="afb"/>
      </w:pPr>
      <w:r>
        <w:t>16 марта 2000 г.</w:t>
      </w:r>
    </w:p>
    <w:p w:rsidR="004C5B33" w:rsidRDefault="004C5B33">
      <w:pPr>
        <w:pStyle w:val="afb"/>
      </w:pPr>
      <w:r>
        <w:t>N 389-р</w:t>
      </w:r>
    </w:p>
    <w:p w:rsidR="004C5B33" w:rsidRDefault="004C5B33"/>
    <w:sectPr w:rsidR="004C5B33">
      <w:pgSz w:w="11904" w:h="16836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42"/>
    <w:rsid w:val="004C5B33"/>
    <w:rsid w:val="00831642"/>
    <w:rsid w:val="00B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b/>
      <w:bCs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Pr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  <w:szCs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b/>
      <w:bCs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2013-03-14T04:52:00Z</dcterms:created>
  <dcterms:modified xsi:type="dcterms:W3CDTF">2013-03-14T04:52:00Z</dcterms:modified>
</cp:coreProperties>
</file>