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252C">
      <w:pPr>
        <w:pStyle w:val="1"/>
      </w:pPr>
      <w:bookmarkStart w:id="0" w:name="_GoBack"/>
      <w:bookmarkEnd w:id="0"/>
      <w:r>
        <w:t>ПРОЕКТ</w:t>
      </w:r>
    </w:p>
    <w:p w:rsidR="00000000" w:rsidRDefault="00E1252C">
      <w:pPr>
        <w:jc w:val="right"/>
        <w:rPr>
          <w:u w:val="single"/>
        </w:rPr>
      </w:pPr>
    </w:p>
    <w:p w:rsidR="00000000" w:rsidRDefault="00E1252C">
      <w:pPr>
        <w:jc w:val="right"/>
        <w:rPr>
          <w:u w:val="single"/>
        </w:rPr>
      </w:pPr>
    </w:p>
    <w:p w:rsidR="00000000" w:rsidRDefault="00E1252C">
      <w:pPr>
        <w:spacing w:line="336" w:lineRule="auto"/>
        <w:jc w:val="center"/>
        <w:rPr>
          <w:sz w:val="22"/>
        </w:rPr>
      </w:pPr>
      <w:r>
        <w:rPr>
          <w:b/>
          <w:sz w:val="22"/>
        </w:rPr>
        <w:t>МИНИСТЕРСТВО ПРИРОДНЫХ РЕСУРСОВ РОССИЙСКОЙ ФЕДЕРАЦИИ</w:t>
      </w:r>
    </w:p>
    <w:p w:rsidR="00000000" w:rsidRDefault="00E1252C">
      <w:pPr>
        <w:spacing w:before="80" w:line="288" w:lineRule="auto"/>
        <w:jc w:val="center"/>
        <w:rPr>
          <w:spacing w:val="-12"/>
          <w:sz w:val="22"/>
        </w:rPr>
      </w:pPr>
      <w:r>
        <w:rPr>
          <w:spacing w:val="-12"/>
          <w:sz w:val="22"/>
        </w:rPr>
        <w:t>ФЕДЕРАЛЬНОЕ  ГОСУДАРСТВЕННОЕ  УНИТАРНОЕ  НАУЧНО-ПРОИЗВОДСТВЕННОЕ  ПРЕДПРИЯТИЕ</w:t>
      </w:r>
    </w:p>
    <w:p w:rsidR="00000000" w:rsidRDefault="00E1252C">
      <w:pPr>
        <w:spacing w:line="288" w:lineRule="auto"/>
        <w:jc w:val="center"/>
        <w:rPr>
          <w:spacing w:val="-12"/>
          <w:sz w:val="22"/>
        </w:rPr>
      </w:pPr>
      <w:r>
        <w:rPr>
          <w:spacing w:val="-12"/>
          <w:sz w:val="22"/>
        </w:rPr>
        <w:t>РОССИЙСКИЙ ФЕДЕРАЛЬНЫЙ ГЕОЛОГИЧЕСКИЙ ФОНД</w:t>
      </w:r>
    </w:p>
    <w:p w:rsidR="00000000" w:rsidRDefault="00E1252C">
      <w:pPr>
        <w:spacing w:line="288" w:lineRule="auto"/>
        <w:jc w:val="center"/>
        <w:rPr>
          <w:spacing w:val="-12"/>
          <w:sz w:val="22"/>
        </w:rPr>
      </w:pPr>
      <w:r>
        <w:rPr>
          <w:spacing w:val="-12"/>
          <w:sz w:val="22"/>
        </w:rPr>
        <w:t>(РОСГЕОЛФОНД)</w:t>
      </w: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jc w:val="center"/>
        <w:rPr>
          <w:b/>
          <w:sz w:val="36"/>
        </w:rPr>
      </w:pPr>
      <w:r>
        <w:rPr>
          <w:b/>
          <w:sz w:val="44"/>
        </w:rPr>
        <w:t>ГОСУДАРСТВЕННЫЙ КАДАСТР</w:t>
      </w:r>
    </w:p>
    <w:p w:rsidR="00000000" w:rsidRDefault="00E1252C">
      <w:pPr>
        <w:spacing w:line="360" w:lineRule="auto"/>
        <w:jc w:val="center"/>
        <w:rPr>
          <w:sz w:val="6"/>
        </w:rPr>
      </w:pPr>
    </w:p>
    <w:p w:rsidR="00000000" w:rsidRDefault="00E1252C">
      <w:pPr>
        <w:spacing w:line="384" w:lineRule="auto"/>
        <w:jc w:val="center"/>
        <w:rPr>
          <w:b/>
          <w:sz w:val="32"/>
        </w:rPr>
      </w:pPr>
      <w:r>
        <w:rPr>
          <w:b/>
          <w:sz w:val="32"/>
        </w:rPr>
        <w:t xml:space="preserve">МЕСТОРОЖДЕНИЙ И ПРОЯВЛЕНИЙ </w:t>
      </w:r>
      <w:r>
        <w:rPr>
          <w:b/>
          <w:sz w:val="32"/>
        </w:rPr>
        <w:t>ПОЛЕЗНЫХ</w:t>
      </w:r>
    </w:p>
    <w:p w:rsidR="00000000" w:rsidRDefault="00E1252C">
      <w:pPr>
        <w:spacing w:line="384" w:lineRule="auto"/>
        <w:jc w:val="center"/>
        <w:rPr>
          <w:sz w:val="22"/>
        </w:rPr>
      </w:pPr>
      <w:r>
        <w:rPr>
          <w:b/>
          <w:sz w:val="32"/>
        </w:rPr>
        <w:t>ИСКОПАЕМЫХ РОССИЙСКОЙ ФЕДЕРАЦИИ</w:t>
      </w: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36" w:lineRule="auto"/>
        <w:jc w:val="center"/>
        <w:rPr>
          <w:sz w:val="28"/>
        </w:rPr>
      </w:pPr>
    </w:p>
    <w:p w:rsidR="00000000" w:rsidRDefault="00E1252C">
      <w:pPr>
        <w:spacing w:line="33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МЕТОДИЧЕСКОЕ РУКОВОДСТВО</w:t>
      </w:r>
    </w:p>
    <w:p w:rsidR="00000000" w:rsidRDefault="00E1252C">
      <w:pPr>
        <w:spacing w:line="33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ПО СОСТАВЛЕНИЮ ПАСПОРТОВ</w:t>
      </w:r>
    </w:p>
    <w:p w:rsidR="00000000" w:rsidRDefault="00E1252C">
      <w:pPr>
        <w:spacing w:line="360" w:lineRule="auto"/>
        <w:rPr>
          <w:b/>
          <w:bCs/>
          <w:sz w:val="32"/>
        </w:rPr>
      </w:pPr>
    </w:p>
    <w:p w:rsidR="00000000" w:rsidRDefault="00E1252C">
      <w:pPr>
        <w:spacing w:line="312" w:lineRule="auto"/>
        <w:jc w:val="center"/>
        <w:rPr>
          <w:i/>
          <w:sz w:val="22"/>
        </w:rPr>
      </w:pPr>
      <w:r>
        <w:rPr>
          <w:rFonts w:ascii="Arial" w:hAnsi="Arial"/>
          <w:i/>
          <w:sz w:val="22"/>
        </w:rPr>
        <w:t>(редакция вторая, исправленная и дополненная)</w:t>
      </w: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8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rPr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МОСКВА 2001</w:t>
      </w:r>
      <w:r>
        <w:rPr>
          <w:rFonts w:ascii="Arial" w:hAnsi="Arial"/>
          <w:b/>
          <w:sz w:val="22"/>
        </w:rPr>
        <w:br w:type="page"/>
      </w: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b/>
          <w:sz w:val="22"/>
        </w:rPr>
      </w:pPr>
    </w:p>
    <w:p w:rsidR="00000000" w:rsidRDefault="00E1252C">
      <w:pPr>
        <w:spacing w:line="360" w:lineRule="auto"/>
        <w:jc w:val="center"/>
        <w:rPr>
          <w:rFonts w:ascii="Arial" w:hAnsi="Arial"/>
          <w:sz w:val="26"/>
        </w:rPr>
      </w:pPr>
    </w:p>
    <w:p w:rsidR="00000000" w:rsidRDefault="00E1252C">
      <w:pPr>
        <w:spacing w:line="336" w:lineRule="auto"/>
        <w:ind w:firstLine="397"/>
        <w:jc w:val="center"/>
        <w:rPr>
          <w:rFonts w:ascii="Arial" w:hAnsi="Arial"/>
          <w:sz w:val="26"/>
        </w:rPr>
      </w:pPr>
      <w:r>
        <w:rPr>
          <w:rFonts w:ascii="Arial" w:hAnsi="Arial"/>
          <w:sz w:val="40"/>
        </w:rPr>
        <w:t>©</w:t>
      </w:r>
      <w:r>
        <w:rPr>
          <w:rFonts w:ascii="Arial" w:hAnsi="Arial"/>
          <w:sz w:val="26"/>
        </w:rPr>
        <w:t xml:space="preserve">  Росгеолфонд, 2001 г.</w:t>
      </w:r>
    </w:p>
    <w:p w:rsidR="00000000" w:rsidRDefault="00E1252C">
      <w:pPr>
        <w:spacing w:line="336" w:lineRule="auto"/>
        <w:jc w:val="center"/>
        <w:rPr>
          <w:rFonts w:ascii="Arial" w:hAnsi="Arial"/>
          <w:b/>
          <w:sz w:val="24"/>
        </w:rPr>
      </w:pPr>
      <w:r>
        <w:rPr>
          <w:sz w:val="22"/>
        </w:rPr>
        <w:br w:type="page"/>
      </w:r>
      <w:r>
        <w:rPr>
          <w:rFonts w:ascii="Arial" w:hAnsi="Arial"/>
          <w:b/>
          <w:sz w:val="24"/>
        </w:rPr>
        <w:lastRenderedPageBreak/>
        <w:t xml:space="preserve">С О Д Е </w:t>
      </w:r>
      <w:proofErr w:type="gramStart"/>
      <w:r>
        <w:rPr>
          <w:rFonts w:ascii="Arial" w:hAnsi="Arial"/>
          <w:b/>
          <w:sz w:val="24"/>
        </w:rPr>
        <w:t>Р</w:t>
      </w:r>
      <w:proofErr w:type="gramEnd"/>
      <w:r>
        <w:rPr>
          <w:rFonts w:ascii="Arial" w:hAnsi="Arial"/>
          <w:b/>
          <w:sz w:val="24"/>
        </w:rPr>
        <w:t xml:space="preserve"> Ж А Н И Е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>Общие положе</w:t>
      </w:r>
      <w:r>
        <w:rPr>
          <w:sz w:val="22"/>
        </w:rPr>
        <w:t xml:space="preserve">ния </w:t>
      </w:r>
      <w:r>
        <w:rPr>
          <w:sz w:val="22"/>
        </w:rPr>
        <w:tab/>
        <w:t>7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Требования к записи данных </w:t>
      </w:r>
      <w:r>
        <w:rPr>
          <w:sz w:val="22"/>
        </w:rPr>
        <w:tab/>
        <w:t>7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Требования к оформлению титульного листа и графики</w:t>
      </w:r>
      <w:r>
        <w:rPr>
          <w:sz w:val="22"/>
        </w:rPr>
        <w:tab/>
        <w:t>9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Руководство по составлению паспорта формы «А». Месторождения металлических полезных ископаемых </w:t>
      </w:r>
      <w:r>
        <w:rPr>
          <w:sz w:val="22"/>
        </w:rPr>
        <w:tab/>
        <w:t>12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1. Объекты учета </w:t>
      </w:r>
      <w:r>
        <w:rPr>
          <w:sz w:val="22"/>
        </w:rPr>
        <w:tab/>
        <w:t>12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2. Порядок составления паспорта (форма «А») </w:t>
      </w:r>
      <w:r>
        <w:rPr>
          <w:sz w:val="22"/>
        </w:rPr>
        <w:tab/>
        <w:t>1</w:t>
      </w:r>
      <w:r>
        <w:rPr>
          <w:sz w:val="22"/>
        </w:rPr>
        <w:t>2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Руководство по составлению паспорта формы «Б». Месторождения неметаллических полезных ископаемых </w:t>
      </w:r>
      <w:r>
        <w:rPr>
          <w:sz w:val="22"/>
        </w:rPr>
        <w:tab/>
        <w:t>37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1. Объекты учета </w:t>
      </w:r>
      <w:r>
        <w:rPr>
          <w:sz w:val="22"/>
        </w:rPr>
        <w:tab/>
        <w:t>37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2. Порядок составления паспорта (форма «Б») </w:t>
      </w:r>
      <w:r>
        <w:rPr>
          <w:sz w:val="22"/>
        </w:rPr>
        <w:tab/>
        <w:t>37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Руководство по составлению паспорта  формы «В». Россыпные месторождения </w:t>
      </w:r>
      <w:r>
        <w:rPr>
          <w:sz w:val="22"/>
        </w:rPr>
        <w:tab/>
        <w:t>65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1. Объек</w:t>
      </w:r>
      <w:r>
        <w:rPr>
          <w:sz w:val="22"/>
        </w:rPr>
        <w:t xml:space="preserve">ты учета </w:t>
      </w:r>
      <w:r>
        <w:rPr>
          <w:sz w:val="22"/>
        </w:rPr>
        <w:tab/>
        <w:t>65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2. Порядок составления паспорта (форма «В») </w:t>
      </w:r>
      <w:r>
        <w:rPr>
          <w:sz w:val="22"/>
        </w:rPr>
        <w:tab/>
        <w:t>65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Руководство по составлению паспорта формы «Г». Проявления твердых полезных ископаемых </w:t>
      </w:r>
      <w:r>
        <w:rPr>
          <w:sz w:val="22"/>
        </w:rPr>
        <w:tab/>
        <w:t>85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1. Объекты учета </w:t>
      </w:r>
      <w:r>
        <w:rPr>
          <w:sz w:val="22"/>
        </w:rPr>
        <w:tab/>
        <w:t>85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2. Порядок составления паспорта (форма «Г») </w:t>
      </w:r>
      <w:r>
        <w:rPr>
          <w:sz w:val="22"/>
        </w:rPr>
        <w:tab/>
        <w:t>85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Руководство по составлению паспорта </w:t>
      </w:r>
      <w:r>
        <w:rPr>
          <w:sz w:val="22"/>
        </w:rPr>
        <w:t xml:space="preserve">формы «Д». Месторождения нефти и газа </w:t>
      </w:r>
      <w:r>
        <w:rPr>
          <w:sz w:val="22"/>
        </w:rPr>
        <w:tab/>
        <w:t>95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1. Объекты учета </w:t>
      </w:r>
      <w:r>
        <w:rPr>
          <w:sz w:val="22"/>
        </w:rPr>
        <w:tab/>
        <w:t>95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2. Порядок составления паспорта (форма «Д») </w:t>
      </w:r>
      <w:r>
        <w:rPr>
          <w:sz w:val="22"/>
        </w:rPr>
        <w:tab/>
        <w:t>95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Руководство по составлению паспорта формы «Е». Месторождения угля и горючих сланцев </w:t>
      </w:r>
      <w:r>
        <w:rPr>
          <w:sz w:val="22"/>
        </w:rPr>
        <w:tab/>
        <w:t>110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1. Объекты учета </w:t>
      </w:r>
      <w:r>
        <w:rPr>
          <w:sz w:val="22"/>
        </w:rPr>
        <w:tab/>
        <w:t>110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2. Порядок составления паспорта (ф</w:t>
      </w:r>
      <w:r>
        <w:rPr>
          <w:sz w:val="22"/>
        </w:rPr>
        <w:t xml:space="preserve">орма «Е») </w:t>
      </w:r>
      <w:r>
        <w:rPr>
          <w:sz w:val="22"/>
        </w:rPr>
        <w:tab/>
        <w:t>110</w:t>
      </w: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Руководство по составлению паспорта формы «Ж». Месторождения гидроминерального сырья </w:t>
      </w:r>
      <w:r>
        <w:rPr>
          <w:sz w:val="22"/>
        </w:rPr>
        <w:tab/>
        <w:t>131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1. Объекты учета </w:t>
      </w:r>
      <w:r>
        <w:rPr>
          <w:sz w:val="22"/>
        </w:rPr>
        <w:tab/>
        <w:t>131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2. Порядок составления паспорта (форма «Ж») </w:t>
      </w:r>
      <w:r>
        <w:rPr>
          <w:sz w:val="22"/>
        </w:rPr>
        <w:tab/>
        <w:t>131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6"/>
        </w:rPr>
      </w:pPr>
    </w:p>
    <w:p w:rsidR="00000000" w:rsidRDefault="00E1252C">
      <w:pPr>
        <w:tabs>
          <w:tab w:val="left" w:leader="dot" w:pos="9299"/>
        </w:tabs>
        <w:spacing w:line="336" w:lineRule="auto"/>
        <w:rPr>
          <w:sz w:val="22"/>
        </w:rPr>
      </w:pPr>
      <w:r>
        <w:rPr>
          <w:sz w:val="22"/>
        </w:rPr>
        <w:t xml:space="preserve">Перечни терминов, обязательных для использования при составлении паспортов </w:t>
      </w:r>
      <w:r>
        <w:rPr>
          <w:sz w:val="22"/>
        </w:rPr>
        <w:tab/>
        <w:t>143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1. Фонды геологической информации</w:t>
      </w:r>
      <w:r>
        <w:rPr>
          <w:sz w:val="22"/>
        </w:rPr>
        <w:tab/>
        <w:t>143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2. Нефт</w:t>
      </w:r>
      <w:proofErr w:type="gramStart"/>
      <w:r>
        <w:rPr>
          <w:sz w:val="22"/>
        </w:rPr>
        <w:t>е(</w:t>
      </w:r>
      <w:proofErr w:type="gramEnd"/>
      <w:r>
        <w:rPr>
          <w:sz w:val="22"/>
        </w:rPr>
        <w:t xml:space="preserve">газо)носные провинции и области </w:t>
      </w:r>
      <w:r>
        <w:rPr>
          <w:sz w:val="22"/>
        </w:rPr>
        <w:tab/>
        <w:t>144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3. Угольные (сланцевые) бассейны, площади, районы </w:t>
      </w:r>
      <w:r>
        <w:rPr>
          <w:sz w:val="22"/>
        </w:rPr>
        <w:tab/>
        <w:t>146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4. Металлические полезные ископаемые </w:t>
      </w:r>
      <w:r>
        <w:rPr>
          <w:sz w:val="22"/>
        </w:rPr>
        <w:tab/>
        <w:t>147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5. Неметаллические полезные ископаемые </w:t>
      </w:r>
      <w:r>
        <w:rPr>
          <w:sz w:val="22"/>
        </w:rPr>
        <w:tab/>
        <w:t>148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6. Применение неметаллических </w:t>
      </w:r>
      <w:r>
        <w:rPr>
          <w:sz w:val="22"/>
        </w:rPr>
        <w:t xml:space="preserve">полезных ископаемых </w:t>
      </w:r>
      <w:r>
        <w:rPr>
          <w:sz w:val="22"/>
        </w:rPr>
        <w:tab/>
        <w:t>154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7. Экономические районы России </w:t>
      </w:r>
      <w:r>
        <w:rPr>
          <w:sz w:val="22"/>
        </w:rPr>
        <w:tab/>
        <w:t>155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8. Тектонические и тектоно-магматические структуры </w:t>
      </w:r>
      <w:r>
        <w:rPr>
          <w:sz w:val="22"/>
        </w:rPr>
        <w:tab/>
        <w:t>156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9. Структурный контроль </w:t>
      </w:r>
      <w:r>
        <w:rPr>
          <w:sz w:val="22"/>
        </w:rPr>
        <w:tab/>
        <w:t>157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10. Геологический возраст </w:t>
      </w:r>
      <w:r>
        <w:rPr>
          <w:sz w:val="22"/>
        </w:rPr>
        <w:tab/>
        <w:t>158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11. Физико-механические свойства неметаллических полезных ископаемых </w:t>
      </w:r>
      <w:r>
        <w:rPr>
          <w:sz w:val="22"/>
        </w:rPr>
        <w:tab/>
        <w:t>160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12. Г</w:t>
      </w:r>
      <w:r>
        <w:rPr>
          <w:sz w:val="22"/>
        </w:rPr>
        <w:t xml:space="preserve">енезис коренных полезных ископаемых </w:t>
      </w:r>
      <w:r>
        <w:rPr>
          <w:sz w:val="22"/>
        </w:rPr>
        <w:tab/>
        <w:t>161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 xml:space="preserve">13. Околорудные изменения вмещающих пород </w:t>
      </w:r>
      <w:r>
        <w:rPr>
          <w:sz w:val="22"/>
        </w:rPr>
        <w:tab/>
        <w:t>162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t>14. Федеральные округа России</w:t>
      </w:r>
      <w:r>
        <w:rPr>
          <w:sz w:val="22"/>
        </w:rPr>
        <w:tab/>
        <w:t>163</w:t>
      </w:r>
    </w:p>
    <w:p w:rsidR="00000000" w:rsidRDefault="00E1252C">
      <w:pPr>
        <w:tabs>
          <w:tab w:val="left" w:leader="dot" w:pos="9299"/>
        </w:tabs>
        <w:spacing w:line="336" w:lineRule="auto"/>
        <w:ind w:firstLine="397"/>
        <w:rPr>
          <w:sz w:val="22"/>
        </w:rPr>
      </w:pPr>
      <w:r>
        <w:rPr>
          <w:sz w:val="22"/>
        </w:rPr>
        <w:br w:type="page"/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br w:type="page"/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jc w:val="center"/>
        <w:rPr>
          <w:sz w:val="22"/>
        </w:rPr>
      </w:pPr>
      <w:r>
        <w:rPr>
          <w:b/>
          <w:sz w:val="34"/>
        </w:rPr>
        <w:t>МЕТОДИЧЕСКОЕ РУКОВОДСТВО</w:t>
      </w:r>
    </w:p>
    <w:p w:rsidR="00000000" w:rsidRDefault="00E1252C">
      <w:pPr>
        <w:spacing w:line="360" w:lineRule="auto"/>
        <w:jc w:val="center"/>
        <w:rPr>
          <w:sz w:val="22"/>
        </w:rPr>
      </w:pPr>
    </w:p>
    <w:p w:rsidR="00000000" w:rsidRDefault="00E1252C">
      <w:pPr>
        <w:spacing w:line="288" w:lineRule="auto"/>
        <w:jc w:val="center"/>
        <w:rPr>
          <w:b/>
          <w:sz w:val="26"/>
        </w:rPr>
      </w:pPr>
      <w:r>
        <w:rPr>
          <w:b/>
          <w:sz w:val="26"/>
        </w:rPr>
        <w:t>ПО СОСТАВЛЕНИЮ ПАСПОРТОВ  ОБЪЕКТОВ УЧЕТА ГКМ</w:t>
      </w:r>
    </w:p>
    <w:p w:rsidR="00000000" w:rsidRDefault="00E1252C">
      <w:pPr>
        <w:spacing w:line="288" w:lineRule="auto"/>
        <w:jc w:val="center"/>
        <w:rPr>
          <w:b/>
          <w:sz w:val="16"/>
        </w:rPr>
      </w:pPr>
    </w:p>
    <w:p w:rsidR="00000000" w:rsidRDefault="00E1252C">
      <w:pPr>
        <w:spacing w:line="288" w:lineRule="auto"/>
        <w:jc w:val="center"/>
        <w:rPr>
          <w:sz w:val="22"/>
        </w:rPr>
      </w:pPr>
      <w:r>
        <w:rPr>
          <w:b/>
          <w:sz w:val="26"/>
        </w:rPr>
        <w:t>РОССИЙСКОЙ ФЕДЕРАЦИИ</w:t>
      </w:r>
    </w:p>
    <w:p w:rsidR="00000000" w:rsidRDefault="00E1252C">
      <w:pPr>
        <w:spacing w:line="360" w:lineRule="auto"/>
        <w:ind w:firstLine="397"/>
        <w:rPr>
          <w:sz w:val="22"/>
        </w:rPr>
      </w:pPr>
      <w:r>
        <w:rPr>
          <w:sz w:val="22"/>
        </w:rPr>
        <w:br w:type="page"/>
      </w: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Настоящее Мет</w:t>
      </w:r>
      <w:r>
        <w:rPr>
          <w:sz w:val="22"/>
        </w:rPr>
        <w:t xml:space="preserve">одическое руководство подготовлено </w:t>
      </w:r>
      <w:r>
        <w:rPr>
          <w:spacing w:val="-12"/>
          <w:sz w:val="22"/>
        </w:rPr>
        <w:t>Федеральным государственным унитарным научно-производственным предприятием «Российский федеральный геологический фонд»</w:t>
      </w:r>
      <w:r>
        <w:rPr>
          <w:sz w:val="22"/>
        </w:rPr>
        <w:t xml:space="preserve"> Министерства природных ресурсов Российской Федерации в соответствии с Инструкцией по ведению Государст</w:t>
      </w:r>
      <w:r>
        <w:rPr>
          <w:sz w:val="22"/>
        </w:rPr>
        <w:t>венного кадастра месторождений и проявлений полезных и</w:t>
      </w:r>
      <w:r>
        <w:rPr>
          <w:sz w:val="22"/>
        </w:rPr>
        <w:t>с</w:t>
      </w:r>
      <w:r>
        <w:rPr>
          <w:sz w:val="22"/>
        </w:rPr>
        <w:t>копаемых РФ.</w:t>
      </w:r>
    </w:p>
    <w:p w:rsidR="00000000" w:rsidRDefault="00E1252C">
      <w:pPr>
        <w:pStyle w:val="a3"/>
        <w:spacing w:before="120"/>
      </w:pPr>
      <w:r>
        <w:t>В Методическом руководстве изложены основные правила заполнения паспортов ГКМ. Требования Методического руководства являются обязательными для всех организаций-составителей па</w:t>
      </w:r>
      <w:r>
        <w:t>с</w:t>
      </w:r>
      <w:r>
        <w:t>портов объек</w:t>
      </w:r>
      <w:r>
        <w:t>тов учета кадастра.</w:t>
      </w:r>
    </w:p>
    <w:p w:rsidR="00000000" w:rsidRDefault="00E1252C">
      <w:pPr>
        <w:spacing w:line="360" w:lineRule="auto"/>
        <w:ind w:left="4254" w:firstLine="397"/>
        <w:jc w:val="center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УТВЕРЖДЕНО</w:t>
      </w:r>
    </w:p>
    <w:p w:rsidR="00000000" w:rsidRDefault="00E1252C">
      <w:pPr>
        <w:spacing w:line="360" w:lineRule="auto"/>
        <w:ind w:left="4254" w:firstLine="397"/>
        <w:jc w:val="center"/>
        <w:rPr>
          <w:sz w:val="16"/>
        </w:rPr>
      </w:pPr>
      <w:r>
        <w:rPr>
          <w:sz w:val="16"/>
        </w:rPr>
        <w:t>ГЕНЕРАЛЬНЫМ ДИРЕКТОРОМ</w:t>
      </w:r>
    </w:p>
    <w:p w:rsidR="00000000" w:rsidRDefault="00E1252C">
      <w:pPr>
        <w:spacing w:line="360" w:lineRule="auto"/>
        <w:ind w:left="4254" w:firstLine="397"/>
        <w:jc w:val="center"/>
        <w:rPr>
          <w:sz w:val="16"/>
        </w:rPr>
      </w:pPr>
      <w:r>
        <w:rPr>
          <w:sz w:val="16"/>
        </w:rPr>
        <w:t>ФЕДЕРАЛЬНОГО ГОСУДАРСТВЕННОГО УНИТАРНОГО</w:t>
      </w:r>
    </w:p>
    <w:p w:rsidR="00000000" w:rsidRDefault="00E1252C">
      <w:pPr>
        <w:spacing w:line="360" w:lineRule="auto"/>
        <w:ind w:left="4254" w:firstLine="397"/>
        <w:jc w:val="center"/>
        <w:rPr>
          <w:sz w:val="16"/>
        </w:rPr>
      </w:pPr>
      <w:r>
        <w:rPr>
          <w:sz w:val="16"/>
        </w:rPr>
        <w:t>НАУЧНО-ПРОИЗВОДСТВЕННОГО ПРЕДПРИЯТИЯ</w:t>
      </w:r>
    </w:p>
    <w:p w:rsidR="00000000" w:rsidRDefault="00E1252C">
      <w:pPr>
        <w:spacing w:line="360" w:lineRule="auto"/>
        <w:ind w:left="4254" w:firstLine="397"/>
        <w:jc w:val="center"/>
        <w:rPr>
          <w:sz w:val="16"/>
        </w:rPr>
      </w:pPr>
      <w:r>
        <w:rPr>
          <w:sz w:val="16"/>
        </w:rPr>
        <w:t>РОССИЙСКИЙ ФЕДЕРАЛЬНЫЙ ГЕОЛОГИЧЕСКИЙ ФОНД</w:t>
      </w:r>
    </w:p>
    <w:p w:rsidR="00000000" w:rsidRDefault="00E1252C">
      <w:pPr>
        <w:spacing w:line="360" w:lineRule="auto"/>
        <w:ind w:left="4254" w:firstLine="397"/>
        <w:jc w:val="center"/>
        <w:rPr>
          <w:sz w:val="16"/>
        </w:rPr>
      </w:pPr>
      <w:r>
        <w:rPr>
          <w:sz w:val="16"/>
        </w:rPr>
        <w:t>(РОСГЕОЛФОНД)</w:t>
      </w:r>
    </w:p>
    <w:p w:rsidR="00000000" w:rsidRDefault="00E1252C">
      <w:pPr>
        <w:spacing w:line="360" w:lineRule="auto"/>
        <w:ind w:left="4254" w:firstLine="397"/>
        <w:jc w:val="center"/>
        <w:rPr>
          <w:sz w:val="16"/>
        </w:rPr>
      </w:pPr>
      <w:r>
        <w:rPr>
          <w:sz w:val="16"/>
        </w:rPr>
        <w:t>МИНИСТЕРСТВА ПРИРОДНЫХ РЕСУРСОВ РФ</w:t>
      </w:r>
    </w:p>
    <w:p w:rsidR="00000000" w:rsidRDefault="00E1252C">
      <w:pPr>
        <w:spacing w:line="360" w:lineRule="auto"/>
        <w:ind w:left="4254" w:firstLine="397"/>
        <w:jc w:val="center"/>
        <w:rPr>
          <w:sz w:val="18"/>
        </w:rPr>
      </w:pPr>
      <w:r>
        <w:rPr>
          <w:sz w:val="18"/>
        </w:rPr>
        <w:t>____ ____________ 2001 г.</w:t>
      </w:r>
    </w:p>
    <w:p w:rsidR="00000000" w:rsidRDefault="00E1252C">
      <w:pPr>
        <w:spacing w:line="360" w:lineRule="auto"/>
        <w:ind w:firstLine="397"/>
        <w:jc w:val="center"/>
        <w:rPr>
          <w:sz w:val="22"/>
        </w:rPr>
      </w:pPr>
    </w:p>
    <w:p w:rsidR="00000000" w:rsidRDefault="00E1252C">
      <w:pPr>
        <w:spacing w:line="360" w:lineRule="auto"/>
        <w:ind w:firstLine="397"/>
        <w:jc w:val="center"/>
        <w:rPr>
          <w:sz w:val="22"/>
        </w:rPr>
      </w:pPr>
    </w:p>
    <w:p w:rsidR="00000000" w:rsidRDefault="00E1252C">
      <w:pPr>
        <w:pStyle w:val="3"/>
      </w:pPr>
      <w:r>
        <w:t>ОБЩИ</w:t>
      </w:r>
      <w:r>
        <w:t>Е ПОЛОЖЕНИЯ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Бланки паспортов (приложения 2-8 Инструкции по ведению Государственного кадастра местор</w:t>
      </w:r>
      <w:r>
        <w:rPr>
          <w:sz w:val="22"/>
        </w:rPr>
        <w:t>о</w:t>
      </w:r>
      <w:r>
        <w:rPr>
          <w:sz w:val="22"/>
        </w:rPr>
        <w:t>ждений и проявлений полезных ископаемых) и настоящее Методическое руководство регламентир</w:t>
      </w:r>
      <w:r>
        <w:rPr>
          <w:sz w:val="22"/>
        </w:rPr>
        <w:t>у</w:t>
      </w:r>
      <w:r>
        <w:rPr>
          <w:sz w:val="22"/>
        </w:rPr>
        <w:t>ют форму предоставления информации в целях обеспечения ее автомат</w:t>
      </w:r>
      <w:r>
        <w:rPr>
          <w:sz w:val="22"/>
        </w:rPr>
        <w:t>изированной обработки средс</w:t>
      </w:r>
      <w:r>
        <w:rPr>
          <w:sz w:val="22"/>
        </w:rPr>
        <w:t>т</w:t>
      </w:r>
      <w:r>
        <w:rPr>
          <w:sz w:val="22"/>
        </w:rPr>
        <w:t>вами компьютерной техники.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Бланки паспортов разделены на тематические разделы или таблицы (в дальнейшем именуемые частями) и тематические подразделы или графы таблиц (в дальнейшем именуемые аспектами). Части имеют сквозную трехз</w:t>
      </w:r>
      <w:r>
        <w:rPr>
          <w:sz w:val="22"/>
        </w:rPr>
        <w:t>начную нумерацию, их наименования напечатаны на бланке крупным шри</w:t>
      </w:r>
      <w:r>
        <w:rPr>
          <w:sz w:val="22"/>
        </w:rPr>
        <w:t>ф</w:t>
      </w:r>
      <w:r>
        <w:rPr>
          <w:sz w:val="22"/>
        </w:rPr>
        <w:t>том. Аспекты имеют двузначную нумерацию, их наименования напечатаны ме</w:t>
      </w:r>
      <w:r>
        <w:rPr>
          <w:sz w:val="22"/>
        </w:rPr>
        <w:t>л</w:t>
      </w:r>
      <w:r>
        <w:rPr>
          <w:sz w:val="22"/>
        </w:rPr>
        <w:t>ким шрифтом.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На бланках паспортов представлены два вида частей - форматные и текстовые. Форматные части (без индекса “</w:t>
      </w:r>
      <w:r>
        <w:rPr>
          <w:sz w:val="22"/>
        </w:rPr>
        <w:t xml:space="preserve">Т” после номера) содержат информацию, предназначенную для автоматизированной обработки, в </w:t>
      </w:r>
      <w:proofErr w:type="gramStart"/>
      <w:r>
        <w:rPr>
          <w:sz w:val="22"/>
        </w:rPr>
        <w:t>связи</w:t>
      </w:r>
      <w:proofErr w:type="gramEnd"/>
      <w:r>
        <w:rPr>
          <w:sz w:val="22"/>
        </w:rPr>
        <w:t xml:space="preserve"> с чем они должны заполняться строго в соответствии с требованиями руководств по составлению паспортов и с использованием терминов, представленных в руководствах</w:t>
      </w:r>
      <w:r>
        <w:rPr>
          <w:sz w:val="22"/>
        </w:rPr>
        <w:t xml:space="preserve"> и в “Перечнях терминов, обязательных для использования при составлении паспортов”. Текстовые части (с инде</w:t>
      </w:r>
      <w:r>
        <w:rPr>
          <w:sz w:val="22"/>
        </w:rPr>
        <w:t>к</w:t>
      </w:r>
      <w:r>
        <w:rPr>
          <w:sz w:val="22"/>
        </w:rPr>
        <w:t>сом “Т” после номера) предназначены для записи информации в произвольной форме.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pStyle w:val="3"/>
      </w:pPr>
      <w:r>
        <w:t>Требования к записи данных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1. Порядок заполнения форматных частей </w:t>
      </w:r>
      <w:r>
        <w:rPr>
          <w:sz w:val="22"/>
        </w:rPr>
        <w:t>оговаривается в руководствах по составлению паспортов, а также регламентир</w:t>
      </w:r>
      <w:r>
        <w:rPr>
          <w:sz w:val="22"/>
        </w:rPr>
        <w:t>у</w:t>
      </w:r>
      <w:r>
        <w:rPr>
          <w:sz w:val="22"/>
        </w:rPr>
        <w:t>ется формой терминов, приведенных в руководствах и в "Перечнях терминов, обязательных для и</w:t>
      </w:r>
      <w:r>
        <w:rPr>
          <w:sz w:val="22"/>
        </w:rPr>
        <w:t>с</w:t>
      </w:r>
      <w:r>
        <w:rPr>
          <w:sz w:val="22"/>
        </w:rPr>
        <w:t>пользования при составлении паспортов”.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Отсылки к перечням даны на бланках паспортов в пр</w:t>
      </w:r>
      <w:r>
        <w:rPr>
          <w:sz w:val="22"/>
        </w:rPr>
        <w:t>ямоугольниках после наименований частей и аспектов. Числами в прямоугольниках обозначены номера перечней терминов, обязательных для использования при составлении паспортов, буквой “Р” - отсылки к перечням в р</w:t>
      </w:r>
      <w:r>
        <w:rPr>
          <w:sz w:val="22"/>
        </w:rPr>
        <w:t>у</w:t>
      </w:r>
      <w:r>
        <w:rPr>
          <w:sz w:val="22"/>
        </w:rPr>
        <w:t>ководствах.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2. При наличии отсылки к перечню ис</w:t>
      </w:r>
      <w:r>
        <w:rPr>
          <w:sz w:val="22"/>
        </w:rPr>
        <w:t>пользование терминов, не включенных в него, или измен</w:t>
      </w:r>
      <w:r>
        <w:rPr>
          <w:sz w:val="22"/>
        </w:rPr>
        <w:t>е</w:t>
      </w:r>
      <w:r>
        <w:rPr>
          <w:sz w:val="22"/>
        </w:rPr>
        <w:t>ние заданной формы сокращения термина, имеющегося в перечне, не допускается. В отдельных сл</w:t>
      </w:r>
      <w:r>
        <w:rPr>
          <w:sz w:val="22"/>
        </w:rPr>
        <w:t>у</w:t>
      </w:r>
      <w:r>
        <w:rPr>
          <w:sz w:val="22"/>
        </w:rPr>
        <w:t>чаях разрешается дополнять термины необходимыми определениями, форма и содержание которых определены соответст</w:t>
      </w:r>
      <w:r>
        <w:rPr>
          <w:sz w:val="22"/>
        </w:rPr>
        <w:t>вующим руководством. Обязательный термин при этом всегда записывается первым.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3. Количество и структура перечней не должны подвергаться каким-либо изменениям, допуск</w:t>
      </w:r>
      <w:r>
        <w:rPr>
          <w:sz w:val="22"/>
        </w:rPr>
        <w:t>а</w:t>
      </w:r>
      <w:r>
        <w:rPr>
          <w:sz w:val="22"/>
        </w:rPr>
        <w:t>ется лишь дополнение перечней недостающими терминами.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proofErr w:type="gramStart"/>
      <w:r>
        <w:rPr>
          <w:sz w:val="22"/>
        </w:rPr>
        <w:t>Перечни можно дополнять новыми терми</w:t>
      </w:r>
      <w:r>
        <w:rPr>
          <w:sz w:val="22"/>
        </w:rPr>
        <w:t>нами только в тех случаях, когда для обозначаемых этими новыми терминами характеристик (свойств) объектов невозможно выбрать подходящие те</w:t>
      </w:r>
      <w:r>
        <w:rPr>
          <w:sz w:val="22"/>
        </w:rPr>
        <w:t>р</w:t>
      </w:r>
      <w:r>
        <w:rPr>
          <w:sz w:val="22"/>
        </w:rPr>
        <w:t>мины из имеющихся в данном перечне, или если нельзя образовать путем дополнения имеющихся терминов необходимыми опред</w:t>
      </w:r>
      <w:r>
        <w:rPr>
          <w:sz w:val="22"/>
        </w:rPr>
        <w:t>елениями.</w:t>
      </w:r>
      <w:proofErr w:type="gramEnd"/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Термины, предлагаемые для дополнения перечней, должны обозначать конкретные характер</w:t>
      </w:r>
      <w:r>
        <w:rPr>
          <w:sz w:val="22"/>
        </w:rPr>
        <w:t>и</w:t>
      </w:r>
      <w:r>
        <w:rPr>
          <w:sz w:val="22"/>
        </w:rPr>
        <w:t>стики (свойства), а не общие понятия, и относиться к тому же роду понятий и уровню, что и остал</w:t>
      </w:r>
      <w:r>
        <w:rPr>
          <w:sz w:val="22"/>
        </w:rPr>
        <w:t>ь</w:t>
      </w:r>
      <w:r>
        <w:rPr>
          <w:sz w:val="22"/>
        </w:rPr>
        <w:t>ные термины перечня.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Новый термин предлагается в форме, аналогичн</w:t>
      </w:r>
      <w:r>
        <w:rPr>
          <w:sz w:val="22"/>
        </w:rPr>
        <w:t>ой форме терминов соответствующего перечня и должен размещаться в пределах отведенного для него места на бланке паспорта.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Предложения об использовании для составления паспортов и, соответственно, о включении новых терминов в перечни, будут рассматриваться </w:t>
      </w:r>
      <w:r>
        <w:rPr>
          <w:sz w:val="22"/>
        </w:rPr>
        <w:t>Росгеолфондом только при условии, что к паспорту (па</w:t>
      </w:r>
      <w:r>
        <w:rPr>
          <w:sz w:val="22"/>
        </w:rPr>
        <w:t>с</w:t>
      </w:r>
      <w:r>
        <w:rPr>
          <w:sz w:val="22"/>
        </w:rPr>
        <w:t>портам), в котором этот термин (термины) использован впервые, приложены следующие данные о каждом из таких терминов:</w:t>
      </w:r>
    </w:p>
    <w:p w:rsidR="00000000" w:rsidRDefault="00E1252C">
      <w:pPr>
        <w:numPr>
          <w:ilvl w:val="0"/>
          <w:numId w:val="4"/>
        </w:numPr>
        <w:tabs>
          <w:tab w:val="clear" w:pos="360"/>
          <w:tab w:val="num" w:pos="757"/>
        </w:tabs>
        <w:spacing w:line="360" w:lineRule="auto"/>
        <w:ind w:left="757"/>
        <w:jc w:val="both"/>
        <w:rPr>
          <w:sz w:val="22"/>
        </w:rPr>
      </w:pPr>
      <w:r>
        <w:rPr>
          <w:sz w:val="22"/>
        </w:rPr>
        <w:t>название перечня, к которому относится термин;</w:t>
      </w:r>
    </w:p>
    <w:p w:rsidR="00000000" w:rsidRDefault="00E1252C">
      <w:pPr>
        <w:numPr>
          <w:ilvl w:val="0"/>
          <w:numId w:val="4"/>
        </w:numPr>
        <w:tabs>
          <w:tab w:val="clear" w:pos="360"/>
          <w:tab w:val="num" w:pos="757"/>
        </w:tabs>
        <w:spacing w:line="360" w:lineRule="auto"/>
        <w:ind w:left="757"/>
        <w:jc w:val="both"/>
        <w:rPr>
          <w:sz w:val="22"/>
        </w:rPr>
      </w:pPr>
      <w:r>
        <w:rPr>
          <w:sz w:val="22"/>
        </w:rPr>
        <w:t xml:space="preserve">характеристика (свойство) или понятие, </w:t>
      </w:r>
      <w:proofErr w:type="gramStart"/>
      <w:r>
        <w:rPr>
          <w:sz w:val="22"/>
        </w:rPr>
        <w:t>обозначаемые</w:t>
      </w:r>
      <w:proofErr w:type="gramEnd"/>
      <w:r>
        <w:rPr>
          <w:sz w:val="22"/>
        </w:rPr>
        <w:t xml:space="preserve"> термином;</w:t>
      </w:r>
    </w:p>
    <w:p w:rsidR="00000000" w:rsidRDefault="00E1252C">
      <w:pPr>
        <w:numPr>
          <w:ilvl w:val="0"/>
          <w:numId w:val="4"/>
        </w:numPr>
        <w:tabs>
          <w:tab w:val="clear" w:pos="360"/>
          <w:tab w:val="num" w:pos="757"/>
        </w:tabs>
        <w:spacing w:line="360" w:lineRule="auto"/>
        <w:ind w:left="757"/>
        <w:jc w:val="both"/>
        <w:rPr>
          <w:sz w:val="22"/>
        </w:rPr>
      </w:pPr>
      <w:r>
        <w:rPr>
          <w:sz w:val="22"/>
        </w:rPr>
        <w:t>единица измерения величины свойства (при необходимости) и прочие сведения, обусловленные структурой перечня (графа, место в иерархии перечней и т.п.);</w:t>
      </w:r>
    </w:p>
    <w:p w:rsidR="00000000" w:rsidRDefault="00E1252C">
      <w:pPr>
        <w:numPr>
          <w:ilvl w:val="0"/>
          <w:numId w:val="4"/>
        </w:numPr>
        <w:tabs>
          <w:tab w:val="clear" w:pos="360"/>
          <w:tab w:val="num" w:pos="757"/>
        </w:tabs>
        <w:spacing w:line="360" w:lineRule="auto"/>
        <w:ind w:left="757"/>
        <w:jc w:val="both"/>
        <w:rPr>
          <w:sz w:val="22"/>
        </w:rPr>
      </w:pPr>
      <w:r>
        <w:rPr>
          <w:sz w:val="22"/>
        </w:rPr>
        <w:t>точная библиографическая ссылка на источник, в котором дается определение (описани</w:t>
      </w:r>
      <w:r>
        <w:rPr>
          <w:sz w:val="22"/>
        </w:rPr>
        <w:t>е) пон</w:t>
      </w:r>
      <w:r>
        <w:rPr>
          <w:sz w:val="22"/>
        </w:rPr>
        <w:t>я</w:t>
      </w:r>
      <w:r>
        <w:rPr>
          <w:sz w:val="22"/>
        </w:rPr>
        <w:t>тия, характеристики или свойства, обозначаемое термином (название, место и год издания, номера страниц).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4. При записи целых чисел не допускаются пробелы (или точки) между разрядами (например, нельзя число 21800 записывать в виде 21 800 или 21.800),</w:t>
      </w:r>
      <w:r>
        <w:rPr>
          <w:sz w:val="22"/>
        </w:rPr>
        <w:t xml:space="preserve"> а также представление целых чисел в виде дроби (например, нельзя вместо 17 записывать 17.0).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Дробные числа представляются исключительно в десятичной форме и без незначащих нулей (н</w:t>
      </w:r>
      <w:r>
        <w:rPr>
          <w:sz w:val="22"/>
        </w:rPr>
        <w:t>а</w:t>
      </w:r>
      <w:r>
        <w:rPr>
          <w:sz w:val="22"/>
        </w:rPr>
        <w:t>пример, нельзя число 0,36 записывать в виде 0,360 и т.п.).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Кроме того, при</w:t>
      </w:r>
      <w:r>
        <w:rPr>
          <w:sz w:val="22"/>
        </w:rPr>
        <w:t xml:space="preserve"> записи цифровых данных необходимо учитывать ширину отведенной для них графы (длину строки аспекта), и в соответствующих случаях числа следует округлять.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 При записи данных в форматных частях (таблицах), разлинованных построчно через один и</w:t>
      </w:r>
      <w:r>
        <w:rPr>
          <w:sz w:val="22"/>
        </w:rPr>
        <w:t>н</w:t>
      </w:r>
      <w:r>
        <w:rPr>
          <w:sz w:val="22"/>
        </w:rPr>
        <w:t>тервал пишуще</w:t>
      </w:r>
      <w:r>
        <w:rPr>
          <w:sz w:val="22"/>
        </w:rPr>
        <w:t>й машинки, в каждую ячейку таблицы (строку аспекта) разрешается записывать тол</w:t>
      </w:r>
      <w:r>
        <w:rPr>
          <w:sz w:val="22"/>
        </w:rPr>
        <w:t>ь</w:t>
      </w:r>
      <w:r>
        <w:rPr>
          <w:sz w:val="22"/>
        </w:rPr>
        <w:t>ко один термин или число без переноса на другую строку (исключая оговоренные в руководствах случаи записи нескольких терминов). Переносы допускаются только в таблицах (строках),</w:t>
      </w:r>
      <w:r>
        <w:rPr>
          <w:sz w:val="22"/>
        </w:rPr>
        <w:t xml:space="preserve"> разлин</w:t>
      </w:r>
      <w:r>
        <w:rPr>
          <w:sz w:val="22"/>
        </w:rPr>
        <w:t>о</w:t>
      </w:r>
      <w:r>
        <w:rPr>
          <w:sz w:val="22"/>
        </w:rPr>
        <w:t>ванных через два интервала или неразлинованных.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6. Состав информации (содержание) текстовых частей регламентируется записью в скобках п</w:t>
      </w:r>
      <w:r>
        <w:rPr>
          <w:sz w:val="22"/>
        </w:rPr>
        <w:t>о</w:t>
      </w:r>
      <w:r>
        <w:rPr>
          <w:sz w:val="22"/>
        </w:rPr>
        <w:t>сле наименования части на бланке паспорта и (или) соответствующими пояснениями в руководстве.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Форма записи в тек</w:t>
      </w:r>
      <w:r>
        <w:rPr>
          <w:sz w:val="22"/>
        </w:rPr>
        <w:t>стовых частях произвольная, но тексты должны быть конкретными и лак</w:t>
      </w:r>
      <w:r>
        <w:rPr>
          <w:sz w:val="22"/>
        </w:rPr>
        <w:t>о</w:t>
      </w:r>
      <w:r>
        <w:rPr>
          <w:sz w:val="22"/>
        </w:rPr>
        <w:t xml:space="preserve">ничными, без оборотов типа “вероятно”,  “по всей видимости”,  “на наш взгляд” и т.д. Переносы </w:t>
      </w:r>
      <w:r>
        <w:rPr>
          <w:sz w:val="22"/>
        </w:rPr>
        <w:lastRenderedPageBreak/>
        <w:t>слов не ограничиваются. Не следует дословно цитировать текст источника данных. Необходимо изла</w:t>
      </w:r>
      <w:r>
        <w:rPr>
          <w:sz w:val="22"/>
        </w:rPr>
        <w:t>гать материал в предельно краткой форме и в последовательности, заданной порядком записи для той или иной части в руководстве по составлению паспорта данной формы. Рекомендуется представлять да</w:t>
      </w:r>
      <w:r>
        <w:rPr>
          <w:sz w:val="22"/>
        </w:rPr>
        <w:t>н</w:t>
      </w:r>
      <w:r>
        <w:rPr>
          <w:sz w:val="22"/>
        </w:rPr>
        <w:t xml:space="preserve">ные в табличной форме (например, технологические свойства руд </w:t>
      </w:r>
      <w:r>
        <w:rPr>
          <w:sz w:val="22"/>
        </w:rPr>
        <w:t xml:space="preserve"> и др.) и использовать сокращения, не иск</w:t>
      </w:r>
      <w:r>
        <w:rPr>
          <w:sz w:val="22"/>
        </w:rPr>
        <w:t>а</w:t>
      </w:r>
      <w:r>
        <w:rPr>
          <w:sz w:val="22"/>
        </w:rPr>
        <w:t>жающие смысл записи.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7. Если все необходимые сведения в той или иной части разместить не удастся, следует заполнить одноименную часть на втором (третьем и т.д.) листе, который вставляется (и брошюруе</w:t>
      </w:r>
      <w:r>
        <w:rPr>
          <w:sz w:val="22"/>
        </w:rPr>
        <w:t>т</w:t>
      </w:r>
      <w:r>
        <w:rPr>
          <w:sz w:val="22"/>
        </w:rPr>
        <w:t>ся) в паспо</w:t>
      </w:r>
      <w:proofErr w:type="gramStart"/>
      <w:r>
        <w:rPr>
          <w:sz w:val="22"/>
        </w:rPr>
        <w:t xml:space="preserve">рт </w:t>
      </w:r>
      <w:r>
        <w:rPr>
          <w:sz w:val="22"/>
        </w:rPr>
        <w:t>всл</w:t>
      </w:r>
      <w:proofErr w:type="gramEnd"/>
      <w:r>
        <w:rPr>
          <w:sz w:val="22"/>
        </w:rPr>
        <w:t>ед за первым листом с этой частью.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8. При отсутствии данных соответствующие ячейки (строки аспектов) или целые части не запо</w:t>
      </w:r>
      <w:r>
        <w:rPr>
          <w:sz w:val="22"/>
        </w:rPr>
        <w:t>л</w:t>
      </w:r>
      <w:r>
        <w:rPr>
          <w:sz w:val="22"/>
        </w:rPr>
        <w:t>няются. Проставлять в этих случаях прочерки или делать какие-либо записи об отсутствии информ</w:t>
      </w:r>
      <w:r>
        <w:rPr>
          <w:sz w:val="22"/>
        </w:rPr>
        <w:t>а</w:t>
      </w:r>
      <w:r>
        <w:rPr>
          <w:sz w:val="22"/>
        </w:rPr>
        <w:t>ции не сл</w:t>
      </w:r>
      <w:r>
        <w:rPr>
          <w:sz w:val="22"/>
        </w:rPr>
        <w:t>е</w:t>
      </w:r>
      <w:r>
        <w:rPr>
          <w:sz w:val="22"/>
        </w:rPr>
        <w:t>дует.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9. В форматных час</w:t>
      </w:r>
      <w:r>
        <w:rPr>
          <w:sz w:val="22"/>
        </w:rPr>
        <w:t>тях все записи начинаются со строчной буквы (кроме имен собственных, а</w:t>
      </w:r>
      <w:r>
        <w:rPr>
          <w:sz w:val="22"/>
        </w:rPr>
        <w:t>б</w:t>
      </w:r>
      <w:r>
        <w:rPr>
          <w:sz w:val="22"/>
        </w:rPr>
        <w:t>бревиатур, символов и т.п.); пробелы до и после дефисов, запятых, точек и скобок не оставляются; использование знака "№" и кавычек не допускается; химические символы и формулы (исключая</w:t>
      </w:r>
      <w:r>
        <w:rPr>
          <w:sz w:val="22"/>
        </w:rPr>
        <w:t xml:space="preserve"> прив</w:t>
      </w:r>
      <w:r>
        <w:rPr>
          <w:sz w:val="22"/>
        </w:rPr>
        <w:t>е</w:t>
      </w:r>
      <w:r>
        <w:rPr>
          <w:sz w:val="22"/>
        </w:rPr>
        <w:t>денные в перечнях), а также греческие буквы записываются русскими словами.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10. Выходные данные паспорта, имеющего гриф секретности (печатный номер, инициалы маш</w:t>
      </w:r>
      <w:r>
        <w:rPr>
          <w:sz w:val="22"/>
        </w:rPr>
        <w:t>и</w:t>
      </w:r>
      <w:r>
        <w:rPr>
          <w:sz w:val="22"/>
        </w:rPr>
        <w:t>нистки, фамилия исполнителя, количество и назначение экземпляров, дата исполнения), а так</w:t>
      </w:r>
      <w:r>
        <w:rPr>
          <w:sz w:val="22"/>
        </w:rPr>
        <w:t>же п</w:t>
      </w:r>
      <w:r>
        <w:rPr>
          <w:sz w:val="22"/>
        </w:rPr>
        <w:t>е</w:t>
      </w:r>
      <w:r>
        <w:rPr>
          <w:sz w:val="22"/>
        </w:rPr>
        <w:t>чать Первого отдела и заверительная надпись размещаются в нижней половине последней страницы паспорта.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11. В паспорта объектов учета заносятся последние по времени данные, имеющиеся в источниках информации (см. п.1.7 Инструкции по ведению кадастра) на</w:t>
      </w:r>
      <w:r>
        <w:rPr>
          <w:sz w:val="22"/>
        </w:rPr>
        <w:t xml:space="preserve"> дату составления паспорта. При этом сведения по объектам с запасами, учтенными Государственным или территориальным балансом, должны соо</w:t>
      </w:r>
      <w:r>
        <w:rPr>
          <w:sz w:val="22"/>
        </w:rPr>
        <w:t>т</w:t>
      </w:r>
      <w:r>
        <w:rPr>
          <w:sz w:val="22"/>
        </w:rPr>
        <w:t>ветствовать таковым в балансе, исключая степень освоения или изученности, которая при несовпад</w:t>
      </w:r>
      <w:r>
        <w:rPr>
          <w:sz w:val="22"/>
        </w:rPr>
        <w:t>е</w:t>
      </w:r>
      <w:r>
        <w:rPr>
          <w:sz w:val="22"/>
        </w:rPr>
        <w:t xml:space="preserve">нии фактической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указан</w:t>
      </w:r>
      <w:r>
        <w:rPr>
          <w:sz w:val="22"/>
        </w:rPr>
        <w:t>ной в балансе фиксируется по факту.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12. Организация-составитель обязана передавать ТГФ паспорта в сброшюрованном виде. Листы паспорта для этого скрепляются по левому полю 2-3 проволочными скобками при помощи сшивателя для бумаг (степлера) или вручную. Допу</w:t>
      </w:r>
      <w:r>
        <w:rPr>
          <w:sz w:val="22"/>
        </w:rPr>
        <w:t>скается брошюровка (в том же порядке) суровыми нитками.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pStyle w:val="3"/>
      </w:pPr>
      <w:r>
        <w:t>Требования к оформлению титульного листа и графики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1. Графы титульного листа заполняются после составления паспорта, при этом в обязательном порядке заполняются все графы каждого экземпляра паспорта</w:t>
      </w:r>
      <w:r>
        <w:rPr>
          <w:sz w:val="22"/>
        </w:rPr>
        <w:t xml:space="preserve"> (кроме граф “Приемка паспорта”), проставляются необходимые подписи и оттиск печати. Данные титульного листа должны совпадать с данными соответствующих частей и аспектов паспорта.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2. Для паспортов, не имеющих ограничительного грифа, графа “Гриф” не заполня</w:t>
      </w:r>
      <w:r>
        <w:rPr>
          <w:sz w:val="22"/>
        </w:rPr>
        <w:t>ется.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3. </w:t>
      </w:r>
      <w:proofErr w:type="gramStart"/>
      <w:r>
        <w:rPr>
          <w:sz w:val="22"/>
        </w:rPr>
        <w:t>В графе “Объект учета” паспортов «А», «Б», «Д», «Е» перед названием объекта обязательно записывается его вид (месторождение, участок бассейна).</w:t>
      </w:r>
      <w:proofErr w:type="gramEnd"/>
      <w:r>
        <w:rPr>
          <w:sz w:val="22"/>
        </w:rPr>
        <w:t xml:space="preserve"> Если паспорт составлен не на месторождение в целом, а на участок (участки), то запись осуществляется сл</w:t>
      </w:r>
      <w:r>
        <w:rPr>
          <w:sz w:val="22"/>
        </w:rPr>
        <w:t>едующим образом: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«Месторождение Владимирское, уч-ки 1, 2, 9».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lastRenderedPageBreak/>
        <w:t>4. Если полезных ископаемых несколько, то их названия разделяются запятыми. Применение (форма «Б») записывается в скобках после названия соответствующего полезного ископаемого. Если применений н</w:t>
      </w:r>
      <w:r>
        <w:rPr>
          <w:sz w:val="22"/>
        </w:rPr>
        <w:t>есколько, они разделяются запятыми.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5. В графу “Степень промышленного освоения” записывается тот термин, для которого в соо</w:t>
      </w:r>
      <w:r>
        <w:rPr>
          <w:sz w:val="22"/>
        </w:rPr>
        <w:t>т</w:t>
      </w:r>
      <w:r>
        <w:rPr>
          <w:sz w:val="22"/>
        </w:rPr>
        <w:t>ветствующей части паспорта нет года окончания. Если таких степеней несколько, записывается ст</w:t>
      </w:r>
      <w:r>
        <w:rPr>
          <w:sz w:val="22"/>
        </w:rPr>
        <w:t>е</w:t>
      </w:r>
      <w:r>
        <w:rPr>
          <w:sz w:val="22"/>
        </w:rPr>
        <w:t xml:space="preserve">пень более высокого уровня (например, </w:t>
      </w:r>
      <w:r>
        <w:rPr>
          <w:sz w:val="22"/>
        </w:rPr>
        <w:t>если объект одновременно разведывается и разрабатывается, то записывается термин “разработка”).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6. На обороте титульного листа размещаются следующие графические материалы:</w:t>
      </w:r>
    </w:p>
    <w:p w:rsidR="00000000" w:rsidRDefault="00E1252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в паспортах форм «А» и «Б» - схематическая геологическая карта и разрезы;</w:t>
      </w:r>
    </w:p>
    <w:p w:rsidR="00000000" w:rsidRDefault="00E1252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в паспорта</w:t>
      </w:r>
      <w:r>
        <w:rPr>
          <w:sz w:val="22"/>
        </w:rPr>
        <w:t>х формы «В» - схематический геологический разрез и топо-гидрографическая схема располож</w:t>
      </w:r>
      <w:r>
        <w:rPr>
          <w:sz w:val="22"/>
        </w:rPr>
        <w:t>е</w:t>
      </w:r>
      <w:r>
        <w:rPr>
          <w:sz w:val="22"/>
        </w:rPr>
        <w:t>ния объе</w:t>
      </w:r>
      <w:r>
        <w:rPr>
          <w:sz w:val="22"/>
        </w:rPr>
        <w:t>к</w:t>
      </w:r>
      <w:r>
        <w:rPr>
          <w:sz w:val="22"/>
        </w:rPr>
        <w:t>та учета и соседних россыпей;</w:t>
      </w:r>
    </w:p>
    <w:p w:rsidR="00000000" w:rsidRDefault="00E1252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в  паспортах формы «Г» - схематическая геологическая карта и топо-гидрографическая схема расположения объекта учета и соседних с </w:t>
      </w:r>
      <w:r>
        <w:rPr>
          <w:sz w:val="22"/>
        </w:rPr>
        <w:t>ним объектов;</w:t>
      </w:r>
    </w:p>
    <w:p w:rsidR="00000000" w:rsidRDefault="00E1252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в паспортах формы «Д» - схематическая структурная карта и схематический геологический разрез;</w:t>
      </w:r>
    </w:p>
    <w:p w:rsidR="00000000" w:rsidRDefault="00E1252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в паспортах формы «Е» - схематический геологический разрез, литологическая колонка (можно совмещать с разрезом) и схема расположения объекта учета и</w:t>
      </w:r>
      <w:r>
        <w:rPr>
          <w:sz w:val="22"/>
        </w:rPr>
        <w:t xml:space="preserve"> граничащих с ним соседних объектов (участков, шахтных полей и т.п.);</w:t>
      </w:r>
    </w:p>
    <w:p w:rsidR="00000000" w:rsidRDefault="00E1252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в паспортах формы «Ж» - схематическая геологическая карта или топо-гидрографическая схема располож</w:t>
      </w:r>
      <w:r>
        <w:rPr>
          <w:sz w:val="22"/>
        </w:rPr>
        <w:t>е</w:t>
      </w:r>
      <w:r>
        <w:rPr>
          <w:sz w:val="22"/>
        </w:rPr>
        <w:t>ния об</w:t>
      </w:r>
      <w:r>
        <w:rPr>
          <w:sz w:val="22"/>
        </w:rPr>
        <w:t>ъ</w:t>
      </w:r>
      <w:r>
        <w:rPr>
          <w:sz w:val="22"/>
        </w:rPr>
        <w:t>екта учета.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Геологическая карта и разрез должны характеризовать непосредственно </w:t>
      </w:r>
      <w:r>
        <w:rPr>
          <w:sz w:val="22"/>
        </w:rPr>
        <w:t>объект, по которому с</w:t>
      </w:r>
      <w:r>
        <w:rPr>
          <w:sz w:val="22"/>
        </w:rPr>
        <w:t>о</w:t>
      </w:r>
      <w:r>
        <w:rPr>
          <w:sz w:val="22"/>
        </w:rPr>
        <w:t>ставлен паспорт, а не прилегающий (окружающий) район.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На геологической карте должны быть нанесены возрастные индексы и элементы залегания п</w:t>
      </w:r>
      <w:r>
        <w:rPr>
          <w:sz w:val="22"/>
        </w:rPr>
        <w:t>о</w:t>
      </w:r>
      <w:r>
        <w:rPr>
          <w:sz w:val="22"/>
        </w:rPr>
        <w:t>род, а при открытой разработке - контуры карьера. На разрезах необходимо показывать рудные тел</w:t>
      </w:r>
      <w:r>
        <w:rPr>
          <w:sz w:val="22"/>
        </w:rPr>
        <w:t>а (или полезное ископаемое), контуры подсчетных блоков, границы, а также основные разведочные выработки (чтобы было представление о системе разведки).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Данные и термины, приведенные на карте, разрезах и в условных обозначениях к ним, должны соответствовать </w:t>
      </w:r>
      <w:r>
        <w:rPr>
          <w:sz w:val="22"/>
        </w:rPr>
        <w:t>данным и терминам паспортов.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7. В паспортах месторождений и проявлений металлических и неметаллических полезных иск</w:t>
      </w:r>
      <w:r>
        <w:rPr>
          <w:sz w:val="22"/>
        </w:rPr>
        <w:t>о</w:t>
      </w:r>
      <w:r>
        <w:rPr>
          <w:sz w:val="22"/>
        </w:rPr>
        <w:t>паемых в случаях, когда объект характеризуется простым геологическим строением с практически горизонтальным залеганием тел полезных ископаем</w:t>
      </w:r>
      <w:r>
        <w:rPr>
          <w:sz w:val="22"/>
        </w:rPr>
        <w:t>ых и вмещающих пород, можно приводить тол</w:t>
      </w:r>
      <w:r>
        <w:rPr>
          <w:sz w:val="22"/>
        </w:rPr>
        <w:t>ь</w:t>
      </w:r>
      <w:r>
        <w:rPr>
          <w:sz w:val="22"/>
        </w:rPr>
        <w:t>ко геологический разрез. При этом следует изменить заголовок, напечатанный на обороте титульного листа.</w:t>
      </w:r>
    </w:p>
    <w:p w:rsidR="00000000" w:rsidRDefault="00E1252C">
      <w:pPr>
        <w:pStyle w:val="a3"/>
      </w:pPr>
      <w:r>
        <w:t>8. Масштаб карт (разрезов) не регламентируется, но выбирается таким, чтобы графика (с усло</w:t>
      </w:r>
      <w:r>
        <w:t>в</w:t>
      </w:r>
      <w:r>
        <w:t>ными обозначениями)</w:t>
      </w:r>
      <w:r>
        <w:t xml:space="preserve"> разместилась на обороте титульного листа. При необходимости допускается размещение графики целиком на одном дополнительном листе плотной (чертежной) бумаги (но не аммиачки!) форматом до 42 х 30 см. Условные обозначения при этом можно дать на обороте титул</w:t>
      </w:r>
      <w:r>
        <w:t>ь</w:t>
      </w:r>
      <w:r>
        <w:t xml:space="preserve">ного листа. Можно также поместить графику на обороте титульного листа, а условные </w:t>
      </w:r>
      <w:r>
        <w:lastRenderedPageBreak/>
        <w:t>обозначения - на дополнительном листе чертежной бумаги форматом 30 х 21 см. Дополнительный лист помещается сразу за титульным листом паспорта.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 xml:space="preserve">9. Для приводимой в паспортах </w:t>
      </w:r>
      <w:r>
        <w:rPr>
          <w:sz w:val="22"/>
        </w:rPr>
        <w:t>графики обязательно указывается численный и линейный ма</w:t>
      </w:r>
      <w:r>
        <w:rPr>
          <w:sz w:val="22"/>
        </w:rPr>
        <w:t>с</w:t>
      </w:r>
      <w:r>
        <w:rPr>
          <w:sz w:val="22"/>
        </w:rPr>
        <w:t>штаб (горизонтальный - для карты и разреза, вертикальный для разреза и колонки); для разреза, кр</w:t>
      </w:r>
      <w:r>
        <w:rPr>
          <w:sz w:val="22"/>
        </w:rPr>
        <w:t>о</w:t>
      </w:r>
      <w:r>
        <w:rPr>
          <w:sz w:val="22"/>
        </w:rPr>
        <w:t>ме того, - шкала высот, а также обозначение ориентировки карты и (или) разреза по сторонам св</w:t>
      </w:r>
      <w:r>
        <w:rPr>
          <w:sz w:val="22"/>
        </w:rPr>
        <w:t>е</w:t>
      </w:r>
      <w:r>
        <w:rPr>
          <w:sz w:val="22"/>
        </w:rPr>
        <w:t>та.</w:t>
      </w:r>
    </w:p>
    <w:p w:rsidR="00000000" w:rsidRDefault="00E1252C">
      <w:pPr>
        <w:spacing w:line="360" w:lineRule="auto"/>
        <w:ind w:firstLine="397"/>
        <w:jc w:val="both"/>
        <w:rPr>
          <w:sz w:val="22"/>
        </w:rPr>
      </w:pPr>
      <w:r>
        <w:rPr>
          <w:sz w:val="22"/>
        </w:rPr>
        <w:t>10. П</w:t>
      </w:r>
      <w:r>
        <w:rPr>
          <w:sz w:val="22"/>
        </w:rPr>
        <w:t>ервый экземпляр паспорта (предназначенный для Росгеолфонда) обяз</w:t>
      </w:r>
      <w:r>
        <w:rPr>
          <w:sz w:val="22"/>
        </w:rPr>
        <w:t>а</w:t>
      </w:r>
      <w:r>
        <w:rPr>
          <w:sz w:val="22"/>
        </w:rPr>
        <w:t>тельно сопровождается первым экземпляром (оригиналом) графики, выполненным черной тушью либо непосредс</w:t>
      </w:r>
      <w:r>
        <w:rPr>
          <w:sz w:val="22"/>
        </w:rPr>
        <w:t>т</w:t>
      </w:r>
      <w:r>
        <w:rPr>
          <w:sz w:val="22"/>
        </w:rPr>
        <w:t>венно на обороте титульного листа паспорта (на дополнительном листе), либо на кальке или</w:t>
      </w:r>
      <w:r>
        <w:rPr>
          <w:sz w:val="22"/>
        </w:rPr>
        <w:t xml:space="preserve"> черте</w:t>
      </w:r>
      <w:r>
        <w:rPr>
          <w:sz w:val="22"/>
        </w:rPr>
        <w:t>ж</w:t>
      </w:r>
      <w:r>
        <w:rPr>
          <w:sz w:val="22"/>
        </w:rPr>
        <w:t>ной бумаге с последующей наклейкой на оборотную сторону титульного листа паспорта (на допо</w:t>
      </w:r>
      <w:r>
        <w:rPr>
          <w:sz w:val="22"/>
        </w:rPr>
        <w:t>л</w:t>
      </w:r>
      <w:r>
        <w:rPr>
          <w:sz w:val="22"/>
        </w:rPr>
        <w:t>нительный лист). Калька наклеивается не всплошную, а по краям, чтобы под самой картой (разрезом) клея не было.</w:t>
      </w:r>
    </w:p>
    <w:p w:rsidR="00000000" w:rsidRDefault="00E1252C">
      <w:pPr>
        <w:spacing w:line="360" w:lineRule="auto"/>
        <w:ind w:firstLine="397"/>
        <w:jc w:val="both"/>
        <w:rPr>
          <w:sz w:val="4"/>
        </w:rPr>
      </w:pPr>
    </w:p>
    <w:p w:rsidR="00000000" w:rsidRDefault="00E1252C">
      <w:pPr>
        <w:pStyle w:val="a3"/>
      </w:pPr>
      <w:proofErr w:type="gramStart"/>
      <w:r>
        <w:t>П</w:t>
      </w:r>
      <w:proofErr w:type="gramEnd"/>
      <w:r>
        <w:t xml:space="preserve"> р и м е ч а н и е.  Для наклейки допускается</w:t>
      </w:r>
      <w:r>
        <w:t xml:space="preserve"> применение только клея, не оставляющего при в</w:t>
      </w:r>
      <w:r>
        <w:t>ы</w:t>
      </w:r>
      <w:r>
        <w:t>сыхании и длительном хранении пятен (например, бустилат, ПВА, БФ, “Момент” и др.). Применение всех видов липких лент и лейкопластырей, а также резинового и силикатного клеев не допускается.</w:t>
      </w:r>
    </w:p>
    <w:p w:rsidR="00000000" w:rsidRDefault="00E1252C"/>
    <w:sectPr w:rsidR="00000000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252C">
      <w:r>
        <w:separator/>
      </w:r>
    </w:p>
  </w:endnote>
  <w:endnote w:type="continuationSeparator" w:id="0">
    <w:p w:rsidR="00000000" w:rsidRDefault="00E1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52C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000000" w:rsidRDefault="00E1252C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252C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</w:instrText>
    </w:r>
    <w:r>
      <w:rPr>
        <w:rStyle w:val="a7"/>
      </w:rPr>
      <w:instrText xml:space="preserve">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E1252C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252C">
      <w:r>
        <w:separator/>
      </w:r>
    </w:p>
  </w:footnote>
  <w:footnote w:type="continuationSeparator" w:id="0">
    <w:p w:rsidR="00000000" w:rsidRDefault="00E1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204D7E"/>
    <w:multiLevelType w:val="singleLevel"/>
    <w:tmpl w:val="D3D2B2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E9224A"/>
    <w:multiLevelType w:val="singleLevel"/>
    <w:tmpl w:val="2D9AB7C0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3">
    <w:nsid w:val="67BD11A5"/>
    <w:multiLevelType w:val="singleLevel"/>
    <w:tmpl w:val="2D9AB7C0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4">
    <w:nsid w:val="7BCA50CF"/>
    <w:multiLevelType w:val="singleLevel"/>
    <w:tmpl w:val="2D9AB7C0"/>
    <w:lvl w:ilvl="0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2C"/>
    <w:rsid w:val="00E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7513"/>
      </w:tabs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spacing w:line="336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397"/>
      <w:jc w:val="both"/>
    </w:pPr>
    <w:rPr>
      <w:sz w:val="22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spacing w:line="336" w:lineRule="auto"/>
      <w:ind w:firstLine="397"/>
    </w:pPr>
    <w:rPr>
      <w:sz w:val="22"/>
    </w:rPr>
  </w:style>
  <w:style w:type="paragraph" w:styleId="a5">
    <w:name w:val="Body Text"/>
    <w:basedOn w:val="a"/>
    <w:semiHidden/>
    <w:pPr>
      <w:spacing w:line="360" w:lineRule="auto"/>
      <w:jc w:val="center"/>
    </w:pPr>
    <w:rPr>
      <w:b/>
    </w:rPr>
  </w:style>
  <w:style w:type="paragraph" w:styleId="a6">
    <w:name w:val="footnote text"/>
    <w:basedOn w:val="a"/>
    <w:semiHidden/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7513"/>
      </w:tabs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spacing w:line="336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397"/>
      <w:jc w:val="both"/>
    </w:pPr>
    <w:rPr>
      <w:sz w:val="22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semiHidden/>
    <w:pPr>
      <w:spacing w:line="336" w:lineRule="auto"/>
      <w:ind w:firstLine="397"/>
    </w:pPr>
    <w:rPr>
      <w:sz w:val="22"/>
    </w:rPr>
  </w:style>
  <w:style w:type="paragraph" w:styleId="a5">
    <w:name w:val="Body Text"/>
    <w:basedOn w:val="a"/>
    <w:semiHidden/>
    <w:pPr>
      <w:spacing w:line="360" w:lineRule="auto"/>
      <w:jc w:val="center"/>
    </w:pPr>
    <w:rPr>
      <w:b/>
    </w:rPr>
  </w:style>
  <w:style w:type="paragraph" w:styleId="a6">
    <w:name w:val="footnote text"/>
    <w:basedOn w:val="a"/>
    <w:semiHidden/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</dc:creator>
  <cp:lastModifiedBy>Пользователь Windows</cp:lastModifiedBy>
  <cp:revision>2</cp:revision>
  <cp:lastPrinted>2001-07-12T04:28:00Z</cp:lastPrinted>
  <dcterms:created xsi:type="dcterms:W3CDTF">2013-03-14T04:51:00Z</dcterms:created>
  <dcterms:modified xsi:type="dcterms:W3CDTF">2013-03-14T04:51:00Z</dcterms:modified>
</cp:coreProperties>
</file>