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C0" w:rsidRDefault="00F40AC0">
      <w:pPr>
        <w:pStyle w:val="FR2"/>
        <w:spacing w:before="0" w:line="360" w:lineRule="auto"/>
        <w:ind w:right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Комитет Российской Федерации</w:t>
      </w:r>
    </w:p>
    <w:p w:rsidR="00F40AC0" w:rsidRDefault="00F40AC0">
      <w:pPr>
        <w:pStyle w:val="FR2"/>
        <w:spacing w:before="0" w:line="360" w:lineRule="auto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 геологии и использованию недр</w:t>
      </w:r>
    </w:p>
    <w:p w:rsidR="00F40AC0" w:rsidRDefault="00F40AC0">
      <w:pPr>
        <w:pStyle w:val="FR2"/>
        <w:spacing w:before="0" w:line="360" w:lineRule="auto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Российский федеральный геологический фонд</w:t>
      </w:r>
    </w:p>
    <w:p w:rsidR="00F40AC0" w:rsidRDefault="00F40AC0">
      <w:pPr>
        <w:pStyle w:val="FR2"/>
        <w:spacing w:before="0" w:line="360" w:lineRule="auto"/>
        <w:ind w:right="0"/>
        <w:jc w:val="both"/>
        <w:rPr>
          <w:rFonts w:ascii="Times New Roman" w:hAnsi="Times New Roman"/>
        </w:rPr>
      </w:pPr>
    </w:p>
    <w:p w:rsidR="00F40AC0" w:rsidRDefault="00F40AC0">
      <w:pPr>
        <w:pStyle w:val="FR1"/>
        <w:spacing w:line="360" w:lineRule="auto"/>
        <w:ind w:left="0"/>
        <w:jc w:val="center"/>
        <w:rPr>
          <w:b/>
          <w:bCs/>
          <w:sz w:val="32"/>
        </w:rPr>
      </w:pPr>
      <w:r>
        <w:rPr>
          <w:b/>
          <w:bCs/>
          <w:sz w:val="32"/>
        </w:rPr>
        <w:t>ИНСТРУКЦИЯ</w:t>
      </w:r>
    </w:p>
    <w:p w:rsidR="00F40AC0" w:rsidRDefault="00F40AC0">
      <w:pPr>
        <w:pStyle w:val="FR2"/>
        <w:spacing w:line="360" w:lineRule="auto"/>
        <w:ind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государственной регистрации лицензий на пользование недрами, учету, систематизации, хранению и организации использования лицензионных документов</w:t>
      </w:r>
    </w:p>
    <w:p w:rsidR="00F40AC0" w:rsidRDefault="00F40AC0">
      <w:pPr>
        <w:pStyle w:val="FR3"/>
        <w:spacing w:line="360" w:lineRule="auto"/>
        <w:ind w:left="0" w:firstLine="720"/>
        <w:jc w:val="center"/>
        <w:rPr>
          <w:sz w:val="28"/>
        </w:rPr>
      </w:pPr>
      <w:r>
        <w:rPr>
          <w:sz w:val="28"/>
        </w:rPr>
        <w:t>Утверждена приказом Роскомнедр №91 от 21.07.95г.</w:t>
      </w:r>
    </w:p>
    <w:p w:rsidR="00F40AC0" w:rsidRDefault="00F40AC0">
      <w:pPr>
        <w:pStyle w:val="FR3"/>
        <w:spacing w:line="360" w:lineRule="auto"/>
        <w:ind w:left="0" w:firstLine="720"/>
        <w:jc w:val="both"/>
        <w:rPr>
          <w:sz w:val="28"/>
        </w:rPr>
      </w:pPr>
    </w:p>
    <w:p w:rsidR="00F40AC0" w:rsidRDefault="00F40AC0">
      <w:pPr>
        <w:pStyle w:val="FR3"/>
        <w:spacing w:line="360" w:lineRule="auto"/>
        <w:ind w:left="0" w:firstLine="720"/>
        <w:jc w:val="both"/>
        <w:rPr>
          <w:sz w:val="28"/>
        </w:rPr>
      </w:pPr>
    </w:p>
    <w:p w:rsidR="00F40AC0" w:rsidRDefault="00F40AC0">
      <w:pPr>
        <w:pStyle w:val="FR4"/>
        <w:spacing w:before="2900" w:line="36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>Москва 1995 г,</w:t>
      </w:r>
    </w:p>
    <w:p w:rsidR="00F40AC0" w:rsidRDefault="00F40AC0">
      <w:pPr>
        <w:pStyle w:val="FR4"/>
        <w:spacing w:before="2220" w:line="360" w:lineRule="auto"/>
        <w:ind w:left="0" w:firstLine="720"/>
        <w:jc w:val="center"/>
        <w:rPr>
          <w:rFonts w:ascii="Times New Roman" w:hAnsi="Times New Roman"/>
          <w:sz w:val="28"/>
        </w:rPr>
        <w:sectPr w:rsidR="00F40AC0">
          <w:footerReference w:type="even" r:id="rId6"/>
          <w:footerReference w:type="default" r:id="rId7"/>
          <w:type w:val="continuous"/>
          <w:pgSz w:w="11900" w:h="16820"/>
          <w:pgMar w:top="1440" w:right="1191" w:bottom="720" w:left="1440" w:header="720" w:footer="720" w:gutter="0"/>
          <w:cols w:space="60"/>
          <w:noEndnote/>
          <w:titlePg/>
        </w:sectPr>
      </w:pPr>
    </w:p>
    <w:p w:rsidR="00F40AC0" w:rsidRDefault="00F40AC0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Данная Инструкция определяет порядок государственной регистрации лицензий на недропользование в соответствии с требованиями Закона Российской федерации "О Недрах" (в редакции от 8 февраля 1995 г.), а также</w:t>
      </w:r>
      <w:r>
        <w:rPr>
          <w:b/>
          <w:sz w:val="24"/>
        </w:rPr>
        <w:t xml:space="preserve"> </w:t>
      </w:r>
      <w:r>
        <w:rPr>
          <w:sz w:val="24"/>
        </w:rPr>
        <w:t>их учета, систематизации, хранения и организации использования.</w:t>
      </w:r>
    </w:p>
    <w:p w:rsidR="00F40AC0" w:rsidRDefault="00F40AC0">
      <w:pPr>
        <w:ind w:firstLine="720"/>
        <w:jc w:val="both"/>
        <w:rPr>
          <w:sz w:val="24"/>
        </w:rPr>
      </w:pPr>
      <w:r>
        <w:rPr>
          <w:sz w:val="24"/>
        </w:rPr>
        <w:t>Она предназначена для работников геологических фондов и органов управления недропользованием, для недропользователей, а также других юридических и физических лиц, проявляющих интерес к вопросам организационного обеспечения государственной системы лицензирования.</w:t>
      </w:r>
    </w:p>
    <w:p w:rsidR="00F40AC0" w:rsidRDefault="00F40AC0">
      <w:pPr>
        <w:ind w:firstLine="720"/>
        <w:jc w:val="both"/>
        <w:rPr>
          <w:sz w:val="24"/>
        </w:rPr>
      </w:pPr>
      <w:r>
        <w:rPr>
          <w:sz w:val="24"/>
        </w:rPr>
        <w:t>Инструкция разработана Российским федеральным геологическим фондом.</w:t>
      </w:r>
    </w:p>
    <w:p w:rsidR="00F40AC0" w:rsidRDefault="00F40AC0">
      <w:pPr>
        <w:ind w:firstLine="720"/>
        <w:jc w:val="both"/>
        <w:rPr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  <w:titlePg/>
        </w:sectPr>
      </w:pP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>1. Общие положения.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1.1. Настоящая Инструкция в соответствии с Законом Российской Федерации "О недрах" (в редакции от 8 февраля 1995 г.) определяет порядок государственной регистрации лицензий на пользование недрами, их учета, систематизации, хранения и организации использования и является обязательной для исполнения территориальными подразделениями Роскомнедр, Росгеолфондом и территориальными геологическими фондами.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1.2. Все лицензии на пользование недрами подлежат государственной регистрации. Государственная регистрация лицензий проводится в целях: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-учета объектов недропользования и участков недр, предоставленных в пользование в соответствии с лицензией;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-обеспечения контроля за использованием недр и соблюдением условий недропользования;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-справочно-информационного обеспечения органов государственной, власти и управления Российской Федерации и субъектов Российской Федерации;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-решения других задач, связанных с разработкой, и реализацией программ лицензирования на федеральном и территориальном уровнях, геологического изучения недр и воспроизводства минерально-сырьевой базы, освоения и использования недр.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Лицензии, не прошедшие государственную регистрацию, являются недействительными.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1.3. Государственная регистрация лицензий на пользование недрами возлагается на государственное геологическое предприятие "Российский федеральный геологический фонд" (Росгеолфонд), находящийся в непосредственном подчинении Роскомнедр, и территориальные геологические фонды (ТГФ), входящие в состав территориальных органов управления государственным фондом недр.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1.4. Российский федеральный геологический фонд осуществляет государственную регистрацию лицензий, приобретенных пользователями;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-на основании решения Правительства Российской Федерации по согласованию с органами исполнительной власти субъектов российской Федерации для целей захоронения радиоактивных отходов и токсичных веществ в глубоких горизонтах, обеспечивающих их локализацию;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-на основании решения Правительства Российской Федерации по результатам конкурса или аукциона для пользования недрами континентального шельфа Российской Федерации;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  <w:r>
        <w:rPr>
          <w:sz w:val="24"/>
        </w:rPr>
        <w:t>-в порядке переоформления действующих лицензий, выданных</w:t>
      </w:r>
    </w:p>
    <w:p w:rsidR="00F40AC0" w:rsidRDefault="00F40AC0">
      <w:pPr>
        <w:pStyle w:val="21"/>
        <w:spacing w:line="312" w:lineRule="auto"/>
        <w:rPr>
          <w:sz w:val="24"/>
        </w:rPr>
      </w:pPr>
      <w:r>
        <w:rPr>
          <w:sz w:val="24"/>
        </w:rPr>
        <w:lastRenderedPageBreak/>
        <w:t>Роскомнедрами юридическому лицу, в состав учредителей которого входит иностранное юридическое лицо;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-совместными предприятиями, в которых участвуют иностранные фирмы, или иностранными пользователями, как действующими так и вновь образованными.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1.5. Территориальные геологические фонды осуществляют государственную регистрацию лицензий, выданных на основании решений территориальных подразделений Роскомнедр и органов власти субъектов Российской Федерации в пределах их полномочий, по объектам подлежащим лицензированию в соответствии с Законом Российской Федерации "О недрах" (пункты 1,5,бст. 10-1), кроме у казанных в п. 1.4 данной инструкции.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1.6. Лицензии, прошедшие государственную регистрацию, подлежат учету, систематизации и хранению: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-в Росгеолфонде - по всем объектам недропользования, не зависимо от того, какими органами осуществлена выдача лицензий, за исключением общераспространённых полезных ископаемых и одиночных скважин на воду: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-в территориальном геологическом фонде - по всем объектам недропользования, лицензии на которые выданы соответствующими органами власти и управления государственным фондом недр.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1.7. На основе лицензий и прилагаемых к ним лицензионных документов Росгеолфонд и территориальные органы управления государственным фондом недр осуществляют сбор, систематизацию, хранение лицензионных паспортов для создания и функционирования автоматизированной системы учета, анализа и обработки данных, содержащихся в представленных им лицензиях и лицензионных документах.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1.8.Лицензионный паспорт; составляется недропользователем в соответствии с приказом Роскомнедр № 44 от 09.03.94г. и передается на хранение Росгеолфонду и соответствующему территориальному геологическому фонду.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Форма лицензионного паспорта, методические документы по их составлению и ведению компьютерного банка лицензионных данных разрабатываются Росгеолфондом и вводятся в действие решением Роскомнедр.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1.9. Передаче для учета и хранения в Росгеолфонд и соответствующей территориальный геологический фонд также подлежат: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-постановления Роскомнедр и органов исполнительной власти по проведению конкурсов-(аукционов);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-протоколы комиссий по проведению конкурсов и аукционов;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-экспертные заключения по рассмотрению заявок на получение лицензий, технико-экономических показателей работ и проектов использования недр;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-протоколы рассмотрения информации об утверждении или апробации запасов полезных  ископаемых   и  протоколы  геологической  экспертизы  разведанных  участков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</w:p>
    <w:p w:rsidR="00F40AC0" w:rsidRDefault="00F40AC0">
      <w:pPr>
        <w:pStyle w:val="21"/>
        <w:spacing w:line="312" w:lineRule="auto"/>
        <w:rPr>
          <w:sz w:val="24"/>
        </w:rPr>
      </w:pPr>
      <w:r>
        <w:rPr>
          <w:sz w:val="24"/>
        </w:rPr>
        <w:lastRenderedPageBreak/>
        <w:t>недр, для целей, не связанных с добычей, по объектам лицензирования, включая и действующие предприятия;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-протоколы и акты контрольных проверок выполнения недропользователем лицензионных соглашений и условий проведения работ.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В Росгеолфонд указанные выше материалы представлются по всем видам работ и полезным ископаемым, за исключением общераспространенных и одиночных скважин на воду.</w:t>
      </w:r>
    </w:p>
    <w:p w:rsidR="00F40AC0" w:rsidRDefault="00F40AC0">
      <w:pPr>
        <w:spacing w:before="240" w:line="312" w:lineRule="auto"/>
        <w:ind w:left="2160" w:hanging="720"/>
        <w:rPr>
          <w:sz w:val="24"/>
        </w:rPr>
      </w:pPr>
      <w:r>
        <w:rPr>
          <w:b/>
          <w:sz w:val="24"/>
        </w:rPr>
        <w:t xml:space="preserve">2. Порядок государственной регистрации лицензий </w:t>
      </w:r>
      <w:r>
        <w:rPr>
          <w:sz w:val="22"/>
        </w:rPr>
        <w:br/>
      </w:r>
      <w:r>
        <w:rPr>
          <w:b/>
          <w:sz w:val="24"/>
        </w:rPr>
        <w:t>на недропользование.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2.1. Лицензии и прилагаемые к ним лицензионные документы, оформленные в соответствии с требованиями действующего Положения о порядке лицензирования пользования недрами, в обязательном порядке представляются на государственную регистрацию лицензионным подразделением соответствующего органа управления государственным фондом недр.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2.2. Для государственной регистрации представляются не менее 4 (четырех) обязательных экземпляров лицензий и прилагаемых к ним лицензионных документов, которые предназначаются: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-недропользователю - 1-й экземпляр;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-Росгеолфонду для учета и хранения - 2-й экземпляр;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-территориальному геологическому фонду соответствующего органа управления государственным фондом недр, для учета и хранения - 3-й экземпляр;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-уполномоченному органу власти субъекта Федерации - 4-й экзёмпляр;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Рассылка зарегистрированных лицензий осуществляется лицензионным подразделением.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2.3. Лицензии на пользование недрами должны представляться Росгеолфонду и соответствующему ТГФ для регистрации и хранения с приложением полного комплекта документов, список которых приводится на бланке лицензии, а также в сопровождении письма лицензионного подразделения.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К лицензии, представленной на. государственную регистрацию, должен быть приложен также лицензионный паспорт, составленный недропользователем.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2.4. Росгеолфонд и соответствующий территориальный фонд не более чем в 10-дневный срок после поступления к ним лицензий: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2.4.1. проверяют комплектность, качество копий прилагаемых документов, наличие необходимых подписей и дат;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2.4.2. устанавливают государственный регистрационный номер;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2.4.3. вносят данные по каждой лицензии в государственный реестр объектов недропользования;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>2.4.4. ставят на бланке лицензии отметку о ее регистрации в виде специального штампа и подписи руководителя органа, осуществившего регистрацию (Приложение I).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2.5. В случае выявленного несоответствия представленных на регистрацию документов действующему Положению о порядке лицензирования пользования недрами и требованиям п. 2 и 3 данной Инструкции, лицензии возвращаются на доработку, о чем в письменном виде уведомляется орган, выдавший лицензию.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2.6. Лицензиям, подписанным Роскомнедрами или территориальными органами управления фондом недр и органами исполнительной или представительной власти субъектов Российской Федерации, присваивается государственный регистрационный номер, который состоит из трех частей.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2.6.1. серии, состоящей в свою очередь из начальных букв центрального города субъекта федерации, на территории которого находится переданный в пользование участок недр, в соответствии с принятыми аббревиатурами серий (Приложение 2). Серия лицензии на право пользования недрами континентального шельфа состоит из буквы "Ш" и двух букв, определяющих название моря, в котором находится участок недр;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2.6.2. номера лицензии, состоящего из пяти цифр, причем каждый территориальный геологический фонд ведет свою нумерацию начиная с № 00001 до № 10000;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2.6.3. вида лицензии, который определяется двумя буквами. Первая буква обозначает, виды полезных ископаемых: Н - нефть, газ, конденсат; Б - благородные металлы (золото, серебро, платиноиды); К - драгоценные камни и кристаллы (алмазы, пьезооптическое сырье, ювелирные кристаллы и драгоценные камни); Т - твердые полезные ископаемые (включая уголь); В - питьевые подземные воды; М - подземные минеральными лечебные воды, лечебные грязи; 3 - захоронение вредных веществ и отходов; О - использование отходов; П - прочие лицензии (создание геологических и других заповедников, проходка скважин, строительство и использование подземных сооружений, пещер и т.п., проектно-изыскательские и другие работы). Вторая буква обозначает вид работ: П - поисковые и оценочные; Э - эксплуатационные; Р - на условиях предпринимательского риска; Д - другие виды работ (проведение инженерно-геологических изысканий с проходкой горных выработок разного назначения); Г- использование недр в целях, не связанных с добычей полезных ископаемых .( для строительства и размещения в них промышленных, сельскохозяйственных и лечебно-медицинских объектов, а также организации хранения материальных ценностей и сырьевых ресурсов, использование недр для прокладки, различного рода коммуникаций и сооружений).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2.6.4. Государственный  регистрационный  номер  вносится   на  титульный  лист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</w:p>
    <w:p w:rsidR="00F40AC0" w:rsidRDefault="00F40AC0">
      <w:pPr>
        <w:spacing w:line="312" w:lineRule="auto"/>
        <w:ind w:firstLine="720"/>
        <w:jc w:val="both"/>
        <w:rPr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</w:p>
    <w:p w:rsidR="00F40AC0" w:rsidRDefault="00F40AC0">
      <w:pPr>
        <w:pStyle w:val="a4"/>
        <w:spacing w:line="312" w:lineRule="auto"/>
        <w:rPr>
          <w:sz w:val="24"/>
        </w:rPr>
      </w:pPr>
      <w:r>
        <w:rPr>
          <w:sz w:val="24"/>
        </w:rPr>
        <w:lastRenderedPageBreak/>
        <w:t>лицензии и ее трех копий черными чернилами, а на каждом экземпляре ставится  регистрационный штамп.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2.7. Регистрация производится в специальном реестре государственной регистрации лицензий на право пользования недрами по прилагаемой форме (Приложение 3). Регистрация всех видов лицензий производится в одной книге, по окончании одной книги начинается вторая, причем нумерация продолжается.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2.8. Реестр государственной регистрации заполняется в следующем порядке: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2.8.1. графа 1 заполняется начиная с № 1, этот номер может являться инвентарным номером, в порядке поступления лицензий на регистрацию;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2.8.2. в графу 2 заносится дата подачи лицензии на регистрацию;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2.8.3. в графу 3 проставляется дата (число, месяц, год) присвоения лицензии государственного регистрационного номера;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2.8.4. в графах 4, 5 и 6 проставляется государственный регистрационной номер (порядок присвоения номеров см. п. 2.6);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2.8.5. графа 7 заполняется в соответствии с записью на титульном, листе лицензии. В этой графе записывается субъект предпринимательской деятельности (предприятие, организация, фирма, частное лицо и т.п.), указывается юридический адрес (с индексом, телефоном и телефаксом); фамилия, инициалы и должность руководителя.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2.8.6. в графу 8 вносится запись о целевом назначении, виде работ, а также полезном ископаемом;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2.8.7. в графе 9 указывается название органа, выдавшего разрешение на пользование участком земли, номер постановления и дата выдачи;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2.8.8. в графе 10 приводится название лицензируемого участка недр, вид объекта (месторождение, участок, площадь, структура и т.п.), указывается его местоположение (субъект Федерации, ближайший населенный пункт и расстояние до него);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2.8.9. в графе 11 записывается статус участка (геологический или горный отвод), а также ограничение по глубине, если таковое имеется;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2.8.10. в графу 12 вносится наименование уполномоченного органа управления государственным фондом недр с указанием фамилии и инициалов лица, подписавшего лицензию;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2.8.11. в графе 13 указывается наименование органа государственной власти субъекта Федерации, а также фамилия и инициалы представителя, подписавшего лицензию;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2.8.12. В графе 14 проставляется дата окончания срока действия;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2.9. Лицензия подлежит перерегистрации с присвоением ей нового номера в случае   переоформления   пользования   недрами    в   соответствии    с    "Инструкцией  о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7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</w:p>
    <w:p w:rsidR="00F40AC0" w:rsidRDefault="00F40AC0">
      <w:pPr>
        <w:pStyle w:val="a4"/>
        <w:spacing w:line="312" w:lineRule="auto"/>
        <w:rPr>
          <w:sz w:val="24"/>
        </w:rPr>
      </w:pPr>
      <w:r>
        <w:rPr>
          <w:sz w:val="24"/>
        </w:rPr>
        <w:lastRenderedPageBreak/>
        <w:t>порядке переоформления лицензий на пользование недрами", утвержденной приказом Роскомнедр от 18.05.95г. №65.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2.10. Регистрация лицензии в связи с ее переоформлением производится в следующем порядке: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-отыскивается по реестру и извлекается ранее зарегистрированная лицензия;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-в регистрационной книге (Приложение 3) в графе 16 (особые отметки) ставится отметка о переоформлении лицензии и указывается причина переоформления, номер и дата письма (постановления), в соответствии с которым происходит переоформление. Лицензия взамен изъятой регистрируется в установленном порядке (см. п. 2) с присвоением нового регистрационного и государственного номера. Переоформленная лицензия вносится в реестр, на всех экземплярах проставляется регистрационный штамп.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2.11. В случае прекращения, приостановления или ограничения пользования недрами, соответствующий орган управления государственным фондом недр в письменном виде доводит до сведения об этом решении геологический фонд, в котором зарегистрирована лицензия и находятся на хранении лицензионные документы, с указанием причин и приложением копий документов.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 xml:space="preserve">2.12. При прекращении пользования недрами, в том числе досрочном, вследствие причин, изложенных в статье 20 Закона Российской Федерации "О недрах", Росгеолфонд </w:t>
      </w:r>
      <w:r>
        <w:rPr>
          <w:smallCaps/>
          <w:sz w:val="24"/>
        </w:rPr>
        <w:t xml:space="preserve">и </w:t>
      </w:r>
      <w:r>
        <w:rPr>
          <w:sz w:val="24"/>
        </w:rPr>
        <w:t>соответствующий ТГФ: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-вносят в государственный реестр объектов недропользования (Приложение 3) отметку в графе 16 со ссылкой на орган, принявший это решение, указанием даты и номера документа и ликвидируют государственный регистрационный номер;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-прилагают копию документа о прекращении пользования к лицензионному делу и переводят его в массив изъятых документов.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2.13. В случае приостановления или ограничения пользования недрами в  государственном реестре в графе 16 указывается причины и срок, на который приостановлено действие лицензии или дата и номер документа, а копия такого решения прилагается к лицензионным документам.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2.14. Переоформленные лицензии выдаются после сдачи в ТГФ (Росгеолфонд) первого экземпляра старой лицензии. Лицензионные документы в связи с их переоформлением и прекращением пользования недрами изымаются из массива и хранятся в отдельных папках.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2.15. Лицензии не подлежат перерегистрации, если в установленном порядке внесены изменения в лицензионные соглашения и другие документы по отдельным пунктам или разделам. В этом случае в Росгеолфонд и соответствующий территориальный геологический фонд направляются эти изменения отдельным документом.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>2.16. В случае утраты лицензии на пользование недрами, по письменному заявлению владельца утерянной лицензии на основании копий лицензионных документов выдается ее дубликат, при сохранении лицензионного номера и индекса прежней лицензии, с прибавлением в правом верхнем углу бланка лицензии штампа "дубликат" (Приложение 1).</w:t>
      </w:r>
    </w:p>
    <w:p w:rsidR="00F40AC0" w:rsidRDefault="00F40AC0">
      <w:pPr>
        <w:spacing w:before="240" w:line="312" w:lineRule="auto"/>
        <w:ind w:left="1440" w:hanging="720"/>
        <w:jc w:val="both"/>
        <w:rPr>
          <w:b/>
          <w:bCs/>
          <w:sz w:val="24"/>
        </w:rPr>
      </w:pPr>
      <w:r>
        <w:rPr>
          <w:b/>
          <w:bCs/>
          <w:sz w:val="24"/>
        </w:rPr>
        <w:t>3. Основные требования к оформлению лицензионных документов, представляемых на государственную регистрацию и хранение.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3.1. Лицензии заполняются на пишущей машинке или от руки четким почерком. Исправления и подчистки на лицензионном бланке не допускаются. Для получения второго, третьего и четвертого экземпляров лицензий допускается использование средств копировально-множительной техники.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3.2. Лицензия должна содержать показатели в соответствии с пунктом 8 Положения о порядке лицензирования пользования недрами: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-данные о пользователе недр, получившего лицензию; учредителях с указанием юридических адресов;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-данные о целевом назначении работ, связанных с пользованием недрами; указание пространственных границ участка недр, предоставляемого в пользование;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-указание границ земельного участка, выделенного для ведения работ;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-срок действия лицензии и срок начала работ;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-условия, связанные с платежами, взимаемыми при пользовании кедрами, земельными участками, акваториями;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-согласованный уровень добычи минерального сырья, а также соглашение о его долевом распределении; соглашение о правах на геологическую, информацию, полученную в процессе пользования недрами; условия выполнения установленных законодательством Российской Федерации, стандартами (нормами, правилами) требований по охране недр и окружающей природной среды, безопасному, ведению работ;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-условия продления срока действия лицензии;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-объемы и виды сбрасываемых в недра отходов производства и промышленных сточных вод.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-условия пользования участками недр, предоставленных для целей производства исследований, не связанных с добычей полезных ископаемых.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3.3. Лицензия, помимо указанных, в п.3.2 обязательных данных, может дополняться и иными условиями и соглашениями, не противоречащими Закону Российской Федерации "О недрах" и Положению о порядке лицензирования пользования недрами.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3.4. Копии    всех    документов,    прилагаемых    к    лицензии,    (лицензионное</w:t>
      </w:r>
    </w:p>
    <w:p w:rsidR="00F40AC0" w:rsidRDefault="00F40AC0">
      <w:pPr>
        <w:pStyle w:val="a4"/>
        <w:spacing w:line="312" w:lineRule="auto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соглашение, карты, схемы и другие графические приложения, копии уставных и учредительных документов, справки и др.), должны быть выполнены качественно и пригодны для длительного хранения.</w:t>
      </w:r>
    </w:p>
    <w:p w:rsidR="00F40AC0" w:rsidRDefault="00F40AC0">
      <w:pPr>
        <w:spacing w:before="240" w:line="312" w:lineRule="auto"/>
        <w:ind w:left="720" w:hanging="720"/>
        <w:jc w:val="center"/>
        <w:rPr>
          <w:b/>
          <w:sz w:val="24"/>
        </w:rPr>
      </w:pPr>
      <w:r>
        <w:rPr>
          <w:b/>
          <w:sz w:val="24"/>
        </w:rPr>
        <w:t xml:space="preserve">4. Порядок учета, систематизации и хранения </w:t>
      </w:r>
      <w:r>
        <w:rPr>
          <w:sz w:val="22"/>
        </w:rPr>
        <w:br/>
      </w:r>
      <w:r>
        <w:rPr>
          <w:b/>
          <w:sz w:val="24"/>
        </w:rPr>
        <w:t>лицензионных документов.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4.1. После проведения регистрации второй экземпляр лицензий согласно п. 2.2 данной Инструкции направляется соответствующим территориальным геологическим фондом в Росгеолфонд на хранение.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4.2. Систематизация, режим хранения и организация использования лицензий и прилагаемых к ним лицензионных документов, лицензионных паспортов и документов, указанных в п. 1.9, осуществляются в порядке, установленном Росгеолфондом для отчетных геологических материалов.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4.3. Представляемые для учета, систематизации и хранения лицензии должны содержать полный комплект документов, приведенных в перечне приложений с указанием их номера и количества страниц текста и листов графических документов (топопланов, карт, разрезов и др.).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4.4. Лицензии, прошедшие регистрацию в соответствующем ТГФ, передаются на хранение в Росгеолфонд не реже одного раза в квартал (не позднее 15 числа следующего за кварталом месяца) с сопроводительным письмом, в котором кроме того указывается перечень переоформленных лицензий с указанием государственного регистрационного номера.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4.5. Лицензии и прилагаемые к ним лицензионные документы, поступающие из ТГФ, должны быть переплетены и проштампованы с указанием количества листов текста и графических приложений (Приложение 4).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4.6. По общераспространенным полезными ископаемым и одиночным скважинам на воду ТГФ ежеквартально направляет в Росгеолфонд только выписку из реестра объектов недропользования.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4.7. Территориальный геологический фонд ежеквартально представляет в Росгеолфонд сведения о количестве зарегистрированных в истекшем квартале лицензий по всем полезным ископаемым и видам работ по форме согласно приложения 5.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4.8. Лицензия и прилагаемые к ней лицензионные документы, принятые на хранение Росгеолфондом и территориальными геологическими фондами, включаются в массив согласно инвентарному номеру, то есть номеру по порядку согласно реестру.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4.9. Лицензии, зарегистрированные и поставленные на инвентарный учет, хранятся отдельно от других фондовых материалов в папках стандартного образца (33 х 24 х 8 см) по порядку инвентарных номеров, на корешке папки проставляется первый  и последний номер.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>4.10. Поиск документов в массиве обеспечивается путем ведения каталога объектов лицензирования.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4.10.1. Каталог объектов лицензирования состоит из разделов: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-по полезным ископаемым (видам лицензий)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-по субъектам Федерации (сериям лицензий)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-по месторождениям (объектам лицензирования)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-по недропользователям (владельцам лицензий).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4.10.2. Картотеки комплектуются каталожными карточками стандартного размера (125 х 75 мм) и заполняются согласно образцу (Приложение б).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В графу "Полезные ископаемые" карточек вносятся названия всех полезных ископаемых, на которые выдана лицензия.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4.10.3. Картотека по полезным ископаемым.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Карточки, заполненные по объекту лицензирования, размножаются в стольких экземплярах, на сколько полезных ископаемых выдана лицензия. На каждом экземпляре карточки подчеркивается одно из названий полезных ископаемых.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Внутри картотеки карточки размещаются в алфавитном порядке вида лицензии: внутри вида лицензии - в алфавитном порядке подчеркнутых названий полезных ископаемых; внутри полезных ископаемых - согласно сериям (принятому индексу единицы административного деления); внутри серий - по выделенным районам; внутри района - по номерам лицензий.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 xml:space="preserve">4.10.4. Картотека по субъектам Федерации. 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Для картотеки административной привязки (серии) карточки на каждый объект лицензирования составляются в одном экземпляре.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Карточки в картотеке размещаются в алфавитном порядке обозначенных серий; внутри серий - по районам; внутри районов -по видам лицензий; внутри видов - по регистрационным номерам лицензий.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4.10.5. Картотека по месторождениям (объектам лицензирования)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Карточки, заполненные на объект лицензирования, размножаются в соответствии с количеством названий месторождений, на которые выдана лицензия или синонимов названий.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Карточки размещаются в алфавитном порядке названий месторождений; внутри названий - по видам лицензий; внутри видов лицензий - по регистрационным номерам лицензий.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 xml:space="preserve">4.10.6. Картотека по недропользователям 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Карточки, заполненные на объект лицензирования, размещаются в алфавитном порядке по названиям организаций - недропользователей.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4.10.7. Для небольшого по объему массива лицензионных документов, ТГФ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может вести каталог по одному из разделов, указанных в п. 4.10.1,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</w:p>
    <w:p w:rsidR="00F40AC0" w:rsidRDefault="00F40AC0">
      <w:pPr>
        <w:spacing w:line="312" w:lineRule="auto"/>
        <w:ind w:firstLine="720"/>
        <w:jc w:val="both"/>
        <w:rPr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</w:p>
    <w:p w:rsidR="00F40AC0" w:rsidRDefault="00F40AC0">
      <w:pPr>
        <w:spacing w:line="312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lastRenderedPageBreak/>
        <w:t>5. Права, обязанности и ответственность геологических фондов.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5.1. Российский федеральный и территориальный геологические фонды имеют право: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5.1.2. отказывать в регистрации лицензий в случае их некомплектности или неправильности оформления (отсутствия подписей, печатей, использования нестандартных бланков и др.);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5.1.3. требовать от недропользователей представления: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-отчетных балансов запасов полезных ископаемых по формам статотчетности № 5-гр и 6-гр, утвержденным Госкомстатом России, и пояснительных записок к ним о результатах эксплуатационно-разведочных и геологоразведочных работ;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-геологических отчетов о результатах проведенных работ по геологическому изучению недр в соответствии с лицензионным соглашением;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-других сведений, предусмотренных лицензионными соглашениями;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-данных об изменениях в лицензионных соглашениях.</w:t>
      </w:r>
    </w:p>
    <w:p w:rsidR="00F40AC0" w:rsidRDefault="00F40AC0">
      <w:pPr>
        <w:pStyle w:val="20"/>
        <w:spacing w:line="312" w:lineRule="auto"/>
        <w:ind w:firstLine="720"/>
        <w:rPr>
          <w:sz w:val="24"/>
        </w:rPr>
      </w:pPr>
      <w:r>
        <w:rPr>
          <w:sz w:val="24"/>
        </w:rPr>
        <w:t>5.2. Российский федеральный и территориальные геологические фонды обязаны: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5.2.1. обеспечить конфиденциальность информации, содержащейся в лицензионных документах при их хранении и использовании;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5.2.2. строго соблюдать требования по обеспечению условий хранения и сохранности лицензионных документов;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5.2.3. осуществлять использование данных лицензионных документов с учетом коммерческих интересов недропользователей;</w:t>
      </w:r>
    </w:p>
    <w:p w:rsidR="00F40AC0" w:rsidRPr="009F3658" w:rsidRDefault="00F40AC0">
      <w:pPr>
        <w:spacing w:line="312" w:lineRule="auto"/>
        <w:ind w:firstLine="720"/>
        <w:jc w:val="both"/>
        <w:rPr>
          <w:sz w:val="24"/>
          <w:highlight w:val="yellow"/>
        </w:rPr>
      </w:pPr>
      <w:r w:rsidRPr="009F3658">
        <w:rPr>
          <w:sz w:val="24"/>
          <w:highlight w:val="yellow"/>
        </w:rPr>
        <w:t>5.2.4. предоставлять сведения о содержании лицензионных документов:</w:t>
      </w:r>
    </w:p>
    <w:p w:rsidR="00F40AC0" w:rsidRPr="009F3658" w:rsidRDefault="00F40AC0">
      <w:pPr>
        <w:spacing w:line="312" w:lineRule="auto"/>
        <w:ind w:firstLine="720"/>
        <w:jc w:val="both"/>
        <w:rPr>
          <w:sz w:val="24"/>
          <w:highlight w:val="yellow"/>
        </w:rPr>
      </w:pPr>
      <w:r w:rsidRPr="009F3658">
        <w:rPr>
          <w:sz w:val="24"/>
          <w:highlight w:val="yellow"/>
        </w:rPr>
        <w:t>-органам власти Российской Федерации, на территории которых находится объект недропользования;</w:t>
      </w:r>
    </w:p>
    <w:p w:rsidR="00F40AC0" w:rsidRPr="009F3658" w:rsidRDefault="00F40AC0">
      <w:pPr>
        <w:spacing w:line="312" w:lineRule="auto"/>
        <w:ind w:firstLine="720"/>
        <w:jc w:val="both"/>
        <w:rPr>
          <w:sz w:val="24"/>
          <w:highlight w:val="yellow"/>
        </w:rPr>
      </w:pPr>
      <w:r w:rsidRPr="009F3658">
        <w:rPr>
          <w:sz w:val="24"/>
          <w:highlight w:val="yellow"/>
        </w:rPr>
        <w:t>-Роскомнедрам и соответствующим территориальным геологическим комитетам (региональным центрам), осуществляющим управление государственным фондом недр;</w:t>
      </w:r>
    </w:p>
    <w:p w:rsidR="00F40AC0" w:rsidRPr="009F3658" w:rsidRDefault="00F40AC0">
      <w:pPr>
        <w:spacing w:line="312" w:lineRule="auto"/>
        <w:ind w:firstLine="720"/>
        <w:jc w:val="both"/>
        <w:rPr>
          <w:sz w:val="24"/>
          <w:highlight w:val="yellow"/>
        </w:rPr>
      </w:pPr>
      <w:r w:rsidRPr="009F3658">
        <w:rPr>
          <w:sz w:val="24"/>
          <w:highlight w:val="yellow"/>
        </w:rPr>
        <w:t>-министерствам и комитетам, осуществляющим государственное регулирование в соответствующих отраслях экономики;</w:t>
      </w:r>
    </w:p>
    <w:p w:rsidR="00F40AC0" w:rsidRPr="009F3658" w:rsidRDefault="00F40AC0">
      <w:pPr>
        <w:spacing w:line="312" w:lineRule="auto"/>
        <w:ind w:firstLine="720"/>
        <w:jc w:val="both"/>
        <w:rPr>
          <w:sz w:val="24"/>
          <w:highlight w:val="yellow"/>
        </w:rPr>
      </w:pPr>
      <w:r w:rsidRPr="009F3658">
        <w:rPr>
          <w:sz w:val="24"/>
          <w:highlight w:val="yellow"/>
        </w:rPr>
        <w:t>-собственно недропользователям по соответствующему объекту лицензирования;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 w:rsidRPr="009F3658">
        <w:rPr>
          <w:sz w:val="24"/>
          <w:highlight w:val="yellow"/>
        </w:rPr>
        <w:t>-иным пользователям информации только с разрешения недропользователя и органов, предоставивших лицензию.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5.2.5. Выдача документов фиксируется в отдельной книге по прилагаемой форме (Приложение 7).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5.3. Российский федеральный и территориальные геологические фонды обеспечивают     внедрение     средств     вычислительной    техники     и     компьютерных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</w:p>
    <w:p w:rsidR="00F40AC0" w:rsidRDefault="00F40AC0">
      <w:pPr>
        <w:spacing w:line="312" w:lineRule="auto"/>
        <w:ind w:firstLine="720"/>
        <w:jc w:val="both"/>
        <w:rPr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</w:p>
    <w:p w:rsidR="00F40AC0" w:rsidRDefault="00F40AC0">
      <w:pPr>
        <w:pStyle w:val="a4"/>
        <w:spacing w:line="312" w:lineRule="auto"/>
        <w:rPr>
          <w:sz w:val="24"/>
        </w:rPr>
      </w:pPr>
      <w:r>
        <w:rPr>
          <w:sz w:val="24"/>
        </w:rPr>
        <w:lastRenderedPageBreak/>
        <w:t>технологий для создания автоматизированной системы учета и систематизации данных: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-реестра государственной регистрации лицензий;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-ведения банка данных лицензионных документов и лицензионных паспортов;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-справочно-информационного обслуживания заинтересованных пользователей в порядке, установленном Роскомнедра.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5.4. Росгеолфонд осуществляет методическое руководство работами, связанными с государственной регистрацией лицензий, их учетом систематизацией и хранением, разработкой и внедрением компьютерных технологий.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5.5. Ответственность в соответствии с действующим законодательством, достоверность переданных на хранение лицензионных документов, несут руководители соответствующих территориальных органов управления государственным фондом недр и территориальных геологических фондов. На Росгеолфонд возлагается ответственность за обеспечение сохранности переданного ему на хранение документального информационного массива лицензионных документов.</w:t>
      </w:r>
    </w:p>
    <w:p w:rsidR="00F40AC0" w:rsidRDefault="00F40AC0">
      <w:pPr>
        <w:pStyle w:val="20"/>
        <w:spacing w:line="312" w:lineRule="auto"/>
        <w:ind w:firstLine="720"/>
        <w:rPr>
          <w:sz w:val="24"/>
        </w:rPr>
      </w:pPr>
      <w:r>
        <w:rPr>
          <w:sz w:val="24"/>
        </w:rPr>
        <w:t>5.6. Разногласия, возникающие при проведении государственной регистрации систематизации и организации использования лицензий, разрешаются в 2-х недельный срок Росгеолфондом, а в случае, если эти разногласия не устранены, их разрешение осуществляется Роскомнедрами.</w:t>
      </w:r>
    </w:p>
    <w:p w:rsidR="00F40AC0" w:rsidRDefault="00F40AC0">
      <w:pPr>
        <w:pStyle w:val="FR5"/>
        <w:spacing w:before="4920" w:line="312" w:lineRule="auto"/>
        <w:ind w:firstLine="720"/>
        <w:jc w:val="both"/>
        <w:rPr>
          <w:rFonts w:ascii="Times New Roman" w:hAnsi="Times New Roman"/>
          <w:sz w:val="24"/>
        </w:rPr>
      </w:pPr>
    </w:p>
    <w:p w:rsidR="00F40AC0" w:rsidRDefault="00F40AC0">
      <w:pPr>
        <w:pStyle w:val="FR5"/>
        <w:spacing w:before="4920" w:line="312" w:lineRule="auto"/>
        <w:ind w:firstLine="720"/>
        <w:jc w:val="both"/>
        <w:rPr>
          <w:rFonts w:ascii="Times New Roman" w:hAnsi="Times New Roman"/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</w:p>
    <w:p w:rsidR="00F40AC0" w:rsidRDefault="00F40AC0">
      <w:pPr>
        <w:pStyle w:val="1"/>
      </w:pPr>
      <w:r>
        <w:lastRenderedPageBreak/>
        <w:t>Приложение 1</w:t>
      </w:r>
    </w:p>
    <w:p w:rsidR="00F40AC0" w:rsidRDefault="00C57AEC">
      <w:pPr>
        <w:pStyle w:val="3"/>
        <w:ind w:firstLine="0"/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1184275</wp:posOffset>
            </wp:positionV>
            <wp:extent cx="3571240" cy="20269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AC0">
        <w:t>Штамп Государственной регистрации</w:t>
      </w:r>
    </w:p>
    <w:p w:rsidR="00F40AC0" w:rsidRDefault="00C57AEC">
      <w:pPr>
        <w:spacing w:line="312" w:lineRule="auto"/>
        <w:ind w:firstLine="720"/>
        <w:jc w:val="both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-5179060</wp:posOffset>
            </wp:positionV>
            <wp:extent cx="2378710" cy="13500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</w:p>
    <w:p w:rsidR="00F40AC0" w:rsidRDefault="00F40AC0">
      <w:pPr>
        <w:pStyle w:val="2"/>
        <w:ind w:firstLine="0"/>
        <w:jc w:val="center"/>
      </w:pPr>
      <w:r>
        <w:t>Штамп дубликата</w:t>
      </w:r>
    </w:p>
    <w:p w:rsidR="00F40AC0" w:rsidRDefault="00F40AC0"/>
    <w:p w:rsidR="00F40AC0" w:rsidRDefault="00C57AEC"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146050</wp:posOffset>
            </wp:positionV>
            <wp:extent cx="3571875" cy="1885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AC0" w:rsidRDefault="00F40AC0"/>
    <w:p w:rsidR="00F40AC0" w:rsidRDefault="00F40AC0"/>
    <w:p w:rsidR="00F40AC0" w:rsidRDefault="00F40AC0"/>
    <w:p w:rsidR="00F40AC0" w:rsidRDefault="00F40AC0"/>
    <w:p w:rsidR="00F40AC0" w:rsidRDefault="00F40AC0"/>
    <w:p w:rsidR="00F40AC0" w:rsidRDefault="00F40AC0"/>
    <w:p w:rsidR="00F40AC0" w:rsidRDefault="00F40AC0"/>
    <w:p w:rsidR="00F40AC0" w:rsidRDefault="00F40AC0"/>
    <w:p w:rsidR="00F40AC0" w:rsidRDefault="00F40AC0"/>
    <w:p w:rsidR="00F40AC0" w:rsidRDefault="00F40AC0"/>
    <w:p w:rsidR="00F40AC0" w:rsidRDefault="00F40AC0"/>
    <w:p w:rsidR="00F40AC0" w:rsidRDefault="00F40AC0">
      <w:r>
        <w:br w:type="page"/>
      </w:r>
    </w:p>
    <w:p w:rsidR="00F40AC0" w:rsidRDefault="00F40AC0">
      <w:pPr>
        <w:pStyle w:val="1"/>
      </w:pPr>
      <w:r>
        <w:t>Приложение 2</w:t>
      </w:r>
    </w:p>
    <w:p w:rsidR="00F40AC0" w:rsidRDefault="00F40AC0">
      <w:pPr>
        <w:spacing w:before="200" w:line="312" w:lineRule="auto"/>
        <w:ind w:left="72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Аббревиатуры, принятые для обозначения серий лицензий </w:t>
      </w:r>
      <w:r>
        <w:rPr>
          <w:b/>
          <w:bCs/>
          <w:sz w:val="22"/>
        </w:rPr>
        <w:br/>
      </w:r>
      <w:r>
        <w:rPr>
          <w:b/>
          <w:bCs/>
          <w:sz w:val="24"/>
        </w:rPr>
        <w:t>территориальными органами управления фондом недр</w:t>
      </w:r>
    </w:p>
    <w:p w:rsidR="00F40AC0" w:rsidRDefault="00F40AC0">
      <w:pPr>
        <w:spacing w:before="320" w:line="288" w:lineRule="auto"/>
        <w:ind w:firstLine="720"/>
        <w:jc w:val="both"/>
        <w:rPr>
          <w:sz w:val="24"/>
        </w:rPr>
      </w:pPr>
      <w:r>
        <w:rPr>
          <w:sz w:val="24"/>
        </w:rPr>
        <w:t>БЛГ - Амурская область (г.Благовещенск)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АРХ - Архангельская область (г.Архангельск)</w:t>
      </w:r>
    </w:p>
    <w:p w:rsidR="00F40AC0" w:rsidRDefault="00F40AC0">
      <w:pPr>
        <w:spacing w:before="60" w:line="288" w:lineRule="auto"/>
        <w:ind w:firstLine="720"/>
        <w:jc w:val="both"/>
        <w:rPr>
          <w:sz w:val="24"/>
        </w:rPr>
      </w:pPr>
      <w:r>
        <w:rPr>
          <w:sz w:val="24"/>
        </w:rPr>
        <w:t>АСТ - Астраханская область (г.Астрахань)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БЕЛ - Белгородская область (г.Белгород)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БРН - Брянская область (г.Брянск)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ВЛМ - Владимировская область (г.Владимир)</w:t>
      </w:r>
    </w:p>
    <w:p w:rsidR="00F40AC0" w:rsidRDefault="00F40AC0">
      <w:pPr>
        <w:spacing w:before="60" w:line="288" w:lineRule="auto"/>
        <w:ind w:firstLine="720"/>
        <w:jc w:val="both"/>
        <w:rPr>
          <w:sz w:val="24"/>
        </w:rPr>
      </w:pPr>
      <w:r>
        <w:rPr>
          <w:sz w:val="24"/>
        </w:rPr>
        <w:t>ВЛГ - Волгоградская область (г.Волгоград)</w:t>
      </w:r>
    </w:p>
    <w:p w:rsidR="00F40AC0" w:rsidRDefault="00F40AC0">
      <w:pPr>
        <w:spacing w:before="60" w:line="288" w:lineRule="auto"/>
        <w:ind w:firstLine="720"/>
        <w:jc w:val="both"/>
        <w:rPr>
          <w:sz w:val="24"/>
        </w:rPr>
      </w:pPr>
      <w:r>
        <w:rPr>
          <w:sz w:val="24"/>
        </w:rPr>
        <w:t>ВОЛ - Вологодская область (г.Вологда)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ВРЖ - Воронежская область (г.Воронеж)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ИВА - Ивановская область (г.Иваново)</w:t>
      </w:r>
    </w:p>
    <w:p w:rsidR="00F40AC0" w:rsidRDefault="00F40AC0">
      <w:pPr>
        <w:spacing w:before="60" w:line="288" w:lineRule="auto"/>
        <w:ind w:firstLine="720"/>
        <w:jc w:val="both"/>
        <w:rPr>
          <w:sz w:val="24"/>
        </w:rPr>
      </w:pPr>
      <w:r>
        <w:rPr>
          <w:sz w:val="24"/>
        </w:rPr>
        <w:t>ИРК - Иркутская область (г.Иркутск)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КЛГ - Калининградская область (г.Калининград)</w:t>
      </w:r>
    </w:p>
    <w:p w:rsidR="00F40AC0" w:rsidRDefault="00F40AC0">
      <w:pPr>
        <w:spacing w:before="60" w:line="288" w:lineRule="auto"/>
        <w:ind w:firstLine="720"/>
        <w:jc w:val="both"/>
        <w:rPr>
          <w:sz w:val="24"/>
        </w:rPr>
      </w:pPr>
      <w:r>
        <w:rPr>
          <w:sz w:val="24"/>
        </w:rPr>
        <w:t>КЛЖ - Калужская область (г.Калуга)</w:t>
      </w:r>
    </w:p>
    <w:p w:rsidR="00F40AC0" w:rsidRDefault="00F40AC0">
      <w:pPr>
        <w:spacing w:before="60" w:line="288" w:lineRule="auto"/>
        <w:ind w:firstLine="720"/>
        <w:jc w:val="both"/>
        <w:rPr>
          <w:sz w:val="24"/>
        </w:rPr>
      </w:pPr>
      <w:r>
        <w:rPr>
          <w:sz w:val="24"/>
        </w:rPr>
        <w:t>ПТР - Камчатская область (г.Петропавловск-Камчатский)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КЕМ - Кемеровская область (г.Кемерово)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КИР - Кировская область (г.Киров)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КОС - Костромская область (г.Кострома)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КУГ - Курганская область (г.Курган)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КРС - Курская область (г.Курск)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ЛОД - Ленинградская область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ЛПЦ - Липецкая область (г.Липецк)</w:t>
      </w:r>
    </w:p>
    <w:p w:rsidR="00F40AC0" w:rsidRDefault="00F40AC0">
      <w:pPr>
        <w:spacing w:before="60" w:line="288" w:lineRule="auto"/>
        <w:ind w:firstLine="720"/>
        <w:jc w:val="both"/>
        <w:rPr>
          <w:sz w:val="24"/>
        </w:rPr>
      </w:pPr>
      <w:r>
        <w:rPr>
          <w:sz w:val="24"/>
        </w:rPr>
        <w:t>МСК - Московская область (г.Москва)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МУР - Мурманская область (г.Мурманск)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НЖГ - Нижегородская область (г.Нижний Новгород)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НВГ - Новгородская область (г.Новгород)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НОВ - Новосибирская область (г.Новосибирск)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ОМС - Омская область (г.Омск)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ОРБ - Оренбургская область (г.Оренбург)</w:t>
      </w:r>
    </w:p>
    <w:p w:rsidR="00F40AC0" w:rsidRDefault="00F40AC0">
      <w:pPr>
        <w:spacing w:before="60" w:line="288" w:lineRule="auto"/>
        <w:ind w:firstLine="720"/>
        <w:jc w:val="both"/>
        <w:rPr>
          <w:sz w:val="24"/>
        </w:rPr>
      </w:pPr>
      <w:r>
        <w:rPr>
          <w:sz w:val="24"/>
        </w:rPr>
        <w:t>ОРЛ - Орловская область (г.Орел)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ПНЗ - Пензенская область (г.Пенза)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ПЕМ - Пермская область (г.Пермь)</w:t>
      </w:r>
    </w:p>
    <w:p w:rsidR="00F40AC0" w:rsidRDefault="00F40AC0">
      <w:pPr>
        <w:spacing w:before="40" w:line="288" w:lineRule="auto"/>
        <w:ind w:firstLine="720"/>
        <w:jc w:val="both"/>
        <w:rPr>
          <w:sz w:val="24"/>
        </w:rPr>
      </w:pPr>
      <w:r>
        <w:rPr>
          <w:sz w:val="24"/>
        </w:rPr>
        <w:t>ПСК - Псковская область (г.Псков)</w:t>
      </w:r>
    </w:p>
    <w:p w:rsidR="00F40AC0" w:rsidRDefault="00F40AC0">
      <w:pPr>
        <w:spacing w:before="60" w:line="288" w:lineRule="auto"/>
        <w:ind w:firstLine="720"/>
        <w:jc w:val="both"/>
        <w:rPr>
          <w:sz w:val="24"/>
        </w:rPr>
      </w:pPr>
      <w:r>
        <w:rPr>
          <w:sz w:val="24"/>
        </w:rPr>
        <w:t>УЛН - Ульяновская область (г.Ульяновск)</w:t>
      </w:r>
    </w:p>
    <w:p w:rsidR="00F40AC0" w:rsidRDefault="00F40AC0">
      <w:pPr>
        <w:spacing w:before="60" w:line="288" w:lineRule="auto"/>
        <w:ind w:firstLine="720"/>
        <w:jc w:val="both"/>
        <w:rPr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>ЧЕЛ - Челябинская область (г.Челябинск)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ЧИТ - Читинская область (г.Чита)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ЯРЛ - Ярославская область (г.Ярославль)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МОС - Москва СПБ - Санкт-Петербург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БИР - Еврейская автоном.обл. (г.Биробиджан)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ЧИТ - Агинский Бурятский а.о.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КУД - Коми-Пермяцкий а.о. (г.Кудымкар)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ПЛН - Корякский а.о. (г.Палана)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НРМ - Ненецкий а.о. (г.Нарьян-Мар)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ДУД - Таймырский а.о. (г.Дудинка)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УОР - Усть-0рдынский Бурятский а.о. (г.Усть-Ордынский)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ХМН - Ханты-Мансийский а.о. (г.Ханты-Мансийск)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АНД - Чукотский а.о. (г.Анадырь)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ТУР - Эвенкийский а.о. (г.Тура)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СЛХ - Ямало-Ненецкий а.о. (г.Салехард)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БАР - Алтайский край (г.Барнаул)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КРД - Краснодарский край (г.Краснодар)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КРР - Красноярский край (г.Красноярск)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ВЛВ - Приморский край (г.Владивосток)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СТВ - Ставропольская область (г.Ставрополь)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ХАБ - Хабаровский край (г.Хабаровск)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МАЙ - Республика Адыгея (г.Майкоп)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ГОА - Республика Алтай (г.Горно-Алтайск)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УФА - Республика Башкортостан (г.Уфа)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УДЭ - Республика Бурятия (г.Улан-Удэ)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МАХ- Республика Дагестан (г.Махачкала)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НЗР - Ингушская Республика (г.Назрань)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НАЛ - Кабардино-Балкарская Республика (г.Нальчик)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ЭЛИ - Республика Калмыкия Хальм-Тангч (г.Элиста)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РСТ - Ростовская область (г.Ростов)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РЯЗ - Рязанская область (г.Рязань)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СМР - Самарская область (г.Самара)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СРТ - Саратовская область (г.Саратов)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ЮСХ - Сахалинская область (г.Южно-Сахалинск)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СВЕ - Свердловская область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СМО - Смоленская область (г.Смоленск)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ТМБ - Тамбовская область (г.Тамбов)</w:t>
      </w:r>
    </w:p>
    <w:p w:rsidR="00F40AC0" w:rsidRDefault="00F40AC0">
      <w:pPr>
        <w:spacing w:line="312" w:lineRule="auto"/>
        <w:ind w:firstLine="720"/>
        <w:jc w:val="both"/>
        <w:rPr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</w:p>
    <w:p w:rsidR="00F40AC0" w:rsidRDefault="00F40AC0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>ТВЕ - Тверская область (г.Тверь)</w:t>
      </w:r>
    </w:p>
    <w:p w:rsidR="00F40AC0" w:rsidRDefault="00F40AC0">
      <w:pPr>
        <w:spacing w:before="40" w:line="312" w:lineRule="auto"/>
        <w:ind w:firstLine="720"/>
        <w:jc w:val="both"/>
        <w:rPr>
          <w:sz w:val="24"/>
        </w:rPr>
      </w:pPr>
      <w:r>
        <w:rPr>
          <w:sz w:val="24"/>
        </w:rPr>
        <w:t>ТОМ - Томская область (г.Томск)</w:t>
      </w:r>
    </w:p>
    <w:p w:rsidR="00F40AC0" w:rsidRDefault="00F40AC0">
      <w:pPr>
        <w:spacing w:before="60" w:line="312" w:lineRule="auto"/>
        <w:ind w:firstLine="720"/>
        <w:jc w:val="both"/>
        <w:rPr>
          <w:sz w:val="24"/>
        </w:rPr>
      </w:pPr>
      <w:r>
        <w:rPr>
          <w:sz w:val="24"/>
        </w:rPr>
        <w:t>ТУЛ - Тульская область (г.Тула)</w:t>
      </w:r>
    </w:p>
    <w:p w:rsidR="00F40AC0" w:rsidRDefault="00F40AC0">
      <w:pPr>
        <w:spacing w:before="40" w:line="312" w:lineRule="auto"/>
        <w:ind w:firstLine="720"/>
        <w:jc w:val="both"/>
        <w:rPr>
          <w:sz w:val="24"/>
        </w:rPr>
      </w:pPr>
      <w:r>
        <w:rPr>
          <w:sz w:val="24"/>
        </w:rPr>
        <w:t>ТЮМ - Тюменская область (г.Тюмень)</w:t>
      </w:r>
    </w:p>
    <w:p w:rsidR="00F40AC0" w:rsidRDefault="00F40AC0">
      <w:pPr>
        <w:spacing w:before="40" w:line="312" w:lineRule="auto"/>
        <w:ind w:firstLine="720"/>
        <w:jc w:val="both"/>
        <w:rPr>
          <w:sz w:val="24"/>
        </w:rPr>
      </w:pPr>
      <w:r>
        <w:rPr>
          <w:sz w:val="24"/>
        </w:rPr>
        <w:t>МАГ - Магаданская область (г.Магадан)</w:t>
      </w:r>
    </w:p>
    <w:p w:rsidR="00F40AC0" w:rsidRDefault="00F40AC0">
      <w:pPr>
        <w:spacing w:before="60" w:line="312" w:lineRule="auto"/>
        <w:ind w:firstLine="720"/>
        <w:jc w:val="both"/>
        <w:rPr>
          <w:sz w:val="24"/>
        </w:rPr>
      </w:pPr>
      <w:r>
        <w:rPr>
          <w:sz w:val="24"/>
        </w:rPr>
        <w:t>ЧЕР - Карачаево-Черкесская Республика (г.Черкесск)</w:t>
      </w:r>
    </w:p>
    <w:p w:rsidR="00F40AC0" w:rsidRDefault="00F40AC0">
      <w:pPr>
        <w:spacing w:before="40" w:line="312" w:lineRule="auto"/>
        <w:ind w:firstLine="720"/>
        <w:jc w:val="both"/>
        <w:rPr>
          <w:sz w:val="24"/>
        </w:rPr>
      </w:pPr>
      <w:r>
        <w:rPr>
          <w:sz w:val="24"/>
        </w:rPr>
        <w:t>ПТЗ - Республика Карелия (г.Петрозаводск)</w:t>
      </w:r>
    </w:p>
    <w:p w:rsidR="00F40AC0" w:rsidRDefault="00F40AC0">
      <w:pPr>
        <w:spacing w:before="40" w:line="312" w:lineRule="auto"/>
        <w:ind w:firstLine="720"/>
        <w:jc w:val="both"/>
        <w:rPr>
          <w:sz w:val="24"/>
        </w:rPr>
      </w:pPr>
      <w:r>
        <w:rPr>
          <w:sz w:val="24"/>
        </w:rPr>
        <w:t>СЫК - Республика Коми (г.Сыктывкар)</w:t>
      </w:r>
    </w:p>
    <w:p w:rsidR="00F40AC0" w:rsidRDefault="00F40AC0">
      <w:pPr>
        <w:spacing w:before="40" w:line="312" w:lineRule="auto"/>
        <w:ind w:firstLine="720"/>
        <w:jc w:val="both"/>
        <w:rPr>
          <w:sz w:val="24"/>
        </w:rPr>
      </w:pPr>
      <w:r>
        <w:rPr>
          <w:sz w:val="24"/>
        </w:rPr>
        <w:t>ЙШК - Республика Марий Эл (г.Йошкар-Ола)</w:t>
      </w:r>
    </w:p>
    <w:p w:rsidR="00F40AC0" w:rsidRDefault="00F40AC0">
      <w:pPr>
        <w:spacing w:before="40" w:line="312" w:lineRule="auto"/>
        <w:ind w:firstLine="720"/>
        <w:jc w:val="both"/>
        <w:rPr>
          <w:sz w:val="24"/>
        </w:rPr>
      </w:pPr>
      <w:r>
        <w:rPr>
          <w:sz w:val="24"/>
        </w:rPr>
        <w:t>СРН - Республика Мордовия (г.Саранск)</w:t>
      </w:r>
    </w:p>
    <w:p w:rsidR="00F40AC0" w:rsidRDefault="00F40AC0">
      <w:pPr>
        <w:spacing w:before="60" w:line="312" w:lineRule="auto"/>
        <w:ind w:firstLine="720"/>
        <w:jc w:val="both"/>
        <w:rPr>
          <w:sz w:val="24"/>
        </w:rPr>
      </w:pPr>
      <w:r>
        <w:rPr>
          <w:sz w:val="24"/>
        </w:rPr>
        <w:t>ЯКУ — Республика Саха (Якутия) (г.Якутск)</w:t>
      </w:r>
    </w:p>
    <w:p w:rsidR="00F40AC0" w:rsidRDefault="00F40AC0">
      <w:pPr>
        <w:spacing w:before="40" w:line="312" w:lineRule="auto"/>
        <w:ind w:firstLine="720"/>
        <w:jc w:val="both"/>
        <w:rPr>
          <w:sz w:val="24"/>
        </w:rPr>
      </w:pPr>
      <w:r>
        <w:rPr>
          <w:sz w:val="24"/>
        </w:rPr>
        <w:t>ВЛК - Республика Северная Осетия (г.Владикавказ)</w:t>
      </w:r>
    </w:p>
    <w:p w:rsidR="00F40AC0" w:rsidRDefault="00F40AC0">
      <w:pPr>
        <w:spacing w:before="60" w:line="312" w:lineRule="auto"/>
        <w:ind w:firstLine="720"/>
        <w:jc w:val="both"/>
        <w:rPr>
          <w:sz w:val="24"/>
        </w:rPr>
      </w:pPr>
      <w:r>
        <w:rPr>
          <w:sz w:val="24"/>
        </w:rPr>
        <w:t>ТАТ - Республика Татарстан</w:t>
      </w:r>
    </w:p>
    <w:p w:rsidR="00F40AC0" w:rsidRDefault="00F40AC0">
      <w:pPr>
        <w:spacing w:before="60" w:line="312" w:lineRule="auto"/>
        <w:ind w:firstLine="720"/>
        <w:jc w:val="both"/>
        <w:rPr>
          <w:sz w:val="24"/>
        </w:rPr>
      </w:pPr>
      <w:r>
        <w:rPr>
          <w:sz w:val="24"/>
        </w:rPr>
        <w:t>КЗЛ - Республика Тува (г.Кызыл)</w:t>
      </w:r>
    </w:p>
    <w:p w:rsidR="00F40AC0" w:rsidRDefault="00F40AC0">
      <w:pPr>
        <w:spacing w:before="40" w:line="312" w:lineRule="auto"/>
        <w:ind w:firstLine="720"/>
        <w:jc w:val="both"/>
        <w:rPr>
          <w:sz w:val="24"/>
        </w:rPr>
      </w:pPr>
      <w:r>
        <w:rPr>
          <w:sz w:val="24"/>
        </w:rPr>
        <w:t>ИЖВ - Удмуртская Республика (г.Ижевск)</w:t>
      </w:r>
    </w:p>
    <w:p w:rsidR="00F40AC0" w:rsidRDefault="00F40AC0">
      <w:pPr>
        <w:spacing w:before="40" w:line="312" w:lineRule="auto"/>
        <w:ind w:firstLine="720"/>
        <w:jc w:val="both"/>
        <w:rPr>
          <w:sz w:val="24"/>
        </w:rPr>
      </w:pPr>
      <w:r>
        <w:rPr>
          <w:sz w:val="24"/>
        </w:rPr>
        <w:t>АБН - Республика Хакасия (г.Абакан)</w:t>
      </w:r>
    </w:p>
    <w:p w:rsidR="00F40AC0" w:rsidRDefault="00F40AC0">
      <w:pPr>
        <w:spacing w:before="40" w:line="312" w:lineRule="auto"/>
        <w:ind w:firstLine="720"/>
        <w:jc w:val="both"/>
        <w:rPr>
          <w:sz w:val="24"/>
        </w:rPr>
      </w:pPr>
      <w:r>
        <w:rPr>
          <w:sz w:val="24"/>
        </w:rPr>
        <w:t>ГРЗ - Чеченская Республика (г.Грозный)</w:t>
      </w:r>
    </w:p>
    <w:p w:rsidR="00F40AC0" w:rsidRDefault="00F40AC0">
      <w:pPr>
        <w:spacing w:before="60" w:line="312" w:lineRule="auto"/>
        <w:ind w:firstLine="720"/>
        <w:jc w:val="both"/>
        <w:rPr>
          <w:sz w:val="24"/>
        </w:rPr>
      </w:pPr>
      <w:r>
        <w:rPr>
          <w:sz w:val="24"/>
        </w:rPr>
        <w:t>ЧЕБ - Чувашская Республика (г.Чебоксары)</w:t>
      </w:r>
    </w:p>
    <w:p w:rsidR="00F40AC0" w:rsidRDefault="00F40AC0">
      <w:pPr>
        <w:spacing w:before="60" w:line="312" w:lineRule="auto"/>
        <w:ind w:firstLine="720"/>
        <w:jc w:val="both"/>
        <w:rPr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</w:p>
    <w:p w:rsidR="00F40AC0" w:rsidRDefault="00F40AC0">
      <w:pPr>
        <w:pStyle w:val="1"/>
      </w:pPr>
      <w:r>
        <w:lastRenderedPageBreak/>
        <w:t>Приложение 3</w:t>
      </w:r>
    </w:p>
    <w:p w:rsidR="00F40AC0" w:rsidRDefault="00F40AC0">
      <w:pPr>
        <w:pStyle w:val="3"/>
        <w:spacing w:before="80" w:after="0"/>
      </w:pPr>
      <w:r>
        <w:t>Реестр государственной регистрации лицензий на право пользования недрами</w:t>
      </w:r>
    </w:p>
    <w:p w:rsidR="00F40AC0" w:rsidRDefault="00C57AEC">
      <w:pPr>
        <w:spacing w:before="80" w:line="312" w:lineRule="auto"/>
        <w:ind w:firstLine="720"/>
        <w:jc w:val="both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-2540</wp:posOffset>
            </wp:positionV>
            <wp:extent cx="9455785" cy="557657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785" cy="55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AC0" w:rsidRDefault="00F40AC0">
      <w:pPr>
        <w:spacing w:before="80" w:line="312" w:lineRule="auto"/>
        <w:ind w:firstLine="720"/>
        <w:jc w:val="both"/>
        <w:rPr>
          <w:sz w:val="24"/>
        </w:rPr>
        <w:sectPr w:rsidR="00F40AC0">
          <w:pgSz w:w="16820" w:h="11900" w:orient="landscape" w:code="9"/>
          <w:pgMar w:top="981" w:right="1440" w:bottom="1191" w:left="720" w:header="720" w:footer="720" w:gutter="0"/>
          <w:cols w:space="60"/>
          <w:noEndnote/>
        </w:sectPr>
      </w:pPr>
    </w:p>
    <w:p w:rsidR="00F40AC0" w:rsidRDefault="00F40AC0">
      <w:pPr>
        <w:pStyle w:val="1"/>
      </w:pPr>
      <w:r>
        <w:lastRenderedPageBreak/>
        <w:t>Приложение 4</w:t>
      </w:r>
    </w:p>
    <w:p w:rsidR="00F40AC0" w:rsidRDefault="00F40AC0">
      <w:pPr>
        <w:pStyle w:val="4"/>
        <w:ind w:firstLine="0"/>
      </w:pPr>
      <w:r>
        <w:t>Штамп оформления лицензии</w:t>
      </w:r>
    </w:p>
    <w:p w:rsidR="00F40AC0" w:rsidRDefault="00F40AC0"/>
    <w:p w:rsidR="00F40AC0" w:rsidRDefault="00C57AEC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161925</wp:posOffset>
            </wp:positionV>
            <wp:extent cx="3486785" cy="18288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AC0" w:rsidRDefault="00F40AC0"/>
    <w:p w:rsidR="00F40AC0" w:rsidRDefault="00F40AC0"/>
    <w:p w:rsidR="00F40AC0" w:rsidRDefault="00F40AC0"/>
    <w:p w:rsidR="00F40AC0" w:rsidRDefault="00F40AC0"/>
    <w:p w:rsidR="00F40AC0" w:rsidRDefault="00F40AC0"/>
    <w:p w:rsidR="00F40AC0" w:rsidRDefault="00F40AC0"/>
    <w:p w:rsidR="00F40AC0" w:rsidRDefault="00F40AC0"/>
    <w:p w:rsidR="00F40AC0" w:rsidRDefault="00F40AC0"/>
    <w:p w:rsidR="00F40AC0" w:rsidRDefault="00F40AC0"/>
    <w:p w:rsidR="00F40AC0" w:rsidRDefault="00F40AC0"/>
    <w:p w:rsidR="00F40AC0" w:rsidRDefault="00F40AC0">
      <w:pPr>
        <w:spacing w:before="740" w:line="312" w:lineRule="auto"/>
        <w:ind w:firstLine="720"/>
        <w:jc w:val="both"/>
        <w:rPr>
          <w:sz w:val="24"/>
        </w:rPr>
      </w:pPr>
    </w:p>
    <w:p w:rsidR="00F40AC0" w:rsidRDefault="00F40AC0">
      <w:pPr>
        <w:spacing w:before="740" w:line="312" w:lineRule="auto"/>
        <w:ind w:firstLine="720"/>
        <w:jc w:val="both"/>
        <w:rPr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</w:p>
    <w:p w:rsidR="00F40AC0" w:rsidRDefault="00F40AC0">
      <w:pPr>
        <w:pStyle w:val="1"/>
      </w:pPr>
      <w:r>
        <w:lastRenderedPageBreak/>
        <w:t>Приложение 5</w:t>
      </w:r>
    </w:p>
    <w:p w:rsidR="00F40AC0" w:rsidRDefault="00F40AC0">
      <w:pPr>
        <w:pStyle w:val="3"/>
        <w:spacing w:before="460" w:after="0"/>
      </w:pPr>
      <w:r>
        <w:t>Справка о количестве зарегистрированных лицензий в_______ квартале______</w:t>
      </w:r>
    </w:p>
    <w:p w:rsidR="00F40AC0" w:rsidRDefault="00F40AC0">
      <w:pPr>
        <w:spacing w:line="312" w:lineRule="auto"/>
        <w:ind w:firstLine="720"/>
        <w:jc w:val="center"/>
        <w:rPr>
          <w:sz w:val="24"/>
        </w:rPr>
      </w:pPr>
      <w:r>
        <w:rPr>
          <w:sz w:val="24"/>
        </w:rPr>
        <w:t>_______________________________</w:t>
      </w:r>
    </w:p>
    <w:p w:rsidR="00F40AC0" w:rsidRDefault="00F40AC0">
      <w:pPr>
        <w:spacing w:line="312" w:lineRule="auto"/>
        <w:ind w:firstLine="720"/>
        <w:jc w:val="center"/>
        <w:rPr>
          <w:sz w:val="24"/>
        </w:rPr>
      </w:pPr>
      <w:r>
        <w:rPr>
          <w:sz w:val="24"/>
        </w:rPr>
        <w:t>(геологический фонд)</w:t>
      </w:r>
    </w:p>
    <w:p w:rsidR="00F40AC0" w:rsidRDefault="00C57AEC">
      <w:pPr>
        <w:spacing w:before="200" w:line="312" w:lineRule="auto"/>
        <w:ind w:firstLine="720"/>
        <w:jc w:val="both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6250305" cy="71145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71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AC0" w:rsidRDefault="00F40AC0">
      <w:pPr>
        <w:pStyle w:val="FR5"/>
        <w:spacing w:before="700" w:line="312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</w:p>
    <w:p w:rsidR="00F40AC0" w:rsidRDefault="00F40AC0">
      <w:pPr>
        <w:pStyle w:val="FR5"/>
        <w:spacing w:before="700" w:line="312" w:lineRule="auto"/>
        <w:ind w:firstLine="720"/>
        <w:jc w:val="both"/>
        <w:rPr>
          <w:rFonts w:ascii="Times New Roman" w:hAnsi="Times New Roman"/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</w:p>
    <w:p w:rsidR="00F40AC0" w:rsidRDefault="00F40AC0">
      <w:pPr>
        <w:pStyle w:val="1"/>
      </w:pPr>
      <w:r>
        <w:lastRenderedPageBreak/>
        <w:t>Приложение б</w:t>
      </w:r>
    </w:p>
    <w:p w:rsidR="00F40AC0" w:rsidRDefault="00F40AC0">
      <w:pPr>
        <w:pStyle w:val="FR4"/>
        <w:spacing w:before="640" w:line="312" w:lineRule="auto"/>
        <w:ind w:lef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Форма каталожной карточки</w:t>
      </w:r>
    </w:p>
    <w:p w:rsidR="00F40AC0" w:rsidRDefault="00C57AEC">
      <w:pPr>
        <w:pStyle w:val="FR4"/>
        <w:spacing w:before="640" w:line="312" w:lineRule="auto"/>
        <w:ind w:left="0" w:firstLine="720"/>
        <w:jc w:val="center"/>
        <w:rPr>
          <w:rFonts w:ascii="Times New Roman" w:hAnsi="Times New Roman"/>
          <w:i w:val="0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448310</wp:posOffset>
            </wp:positionV>
            <wp:extent cx="5506720" cy="26123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AC0" w:rsidRDefault="00F40AC0">
      <w:pPr>
        <w:pStyle w:val="FR4"/>
        <w:spacing w:before="640" w:line="312" w:lineRule="auto"/>
        <w:ind w:left="0" w:firstLine="720"/>
        <w:jc w:val="center"/>
        <w:rPr>
          <w:rFonts w:ascii="Times New Roman" w:hAnsi="Times New Roman"/>
          <w:i w:val="0"/>
          <w:sz w:val="24"/>
        </w:rPr>
      </w:pPr>
    </w:p>
    <w:p w:rsidR="00F40AC0" w:rsidRDefault="00F40AC0">
      <w:pPr>
        <w:pStyle w:val="FR4"/>
        <w:spacing w:before="640" w:line="312" w:lineRule="auto"/>
        <w:ind w:left="0" w:firstLine="720"/>
        <w:jc w:val="center"/>
        <w:rPr>
          <w:rFonts w:ascii="Times New Roman" w:hAnsi="Times New Roman"/>
          <w:i w:val="0"/>
          <w:sz w:val="24"/>
        </w:rPr>
      </w:pPr>
    </w:p>
    <w:p w:rsidR="00F40AC0" w:rsidRDefault="00F40AC0">
      <w:pPr>
        <w:pStyle w:val="FR4"/>
        <w:spacing w:before="640" w:line="312" w:lineRule="auto"/>
        <w:ind w:left="0" w:firstLine="720"/>
        <w:jc w:val="center"/>
        <w:rPr>
          <w:rFonts w:ascii="Times New Roman" w:hAnsi="Times New Roman"/>
          <w:i w:val="0"/>
          <w:sz w:val="24"/>
        </w:rPr>
      </w:pPr>
    </w:p>
    <w:p w:rsidR="00F40AC0" w:rsidRDefault="00F40AC0">
      <w:pPr>
        <w:pStyle w:val="FR4"/>
        <w:spacing w:before="640" w:line="312" w:lineRule="auto"/>
        <w:ind w:left="0" w:firstLine="720"/>
        <w:jc w:val="center"/>
        <w:rPr>
          <w:rFonts w:ascii="Times New Roman" w:hAnsi="Times New Roman"/>
          <w:sz w:val="24"/>
        </w:rPr>
      </w:pPr>
    </w:p>
    <w:p w:rsidR="00F40AC0" w:rsidRDefault="00F40AC0">
      <w:pPr>
        <w:pStyle w:val="FR4"/>
        <w:spacing w:before="640" w:line="312" w:lineRule="auto"/>
        <w:ind w:left="0" w:firstLine="720"/>
        <w:rPr>
          <w:rFonts w:ascii="Times New Roman" w:hAnsi="Times New Roman"/>
          <w:sz w:val="24"/>
        </w:rPr>
      </w:pPr>
    </w:p>
    <w:p w:rsidR="00F40AC0" w:rsidRDefault="00F40AC0">
      <w:pPr>
        <w:pStyle w:val="FR4"/>
        <w:spacing w:before="640" w:line="312" w:lineRule="auto"/>
        <w:ind w:left="0" w:firstLine="720"/>
        <w:rPr>
          <w:rFonts w:ascii="Times New Roman" w:hAnsi="Times New Roman"/>
          <w:sz w:val="24"/>
        </w:rPr>
        <w:sectPr w:rsidR="00F40AC0">
          <w:pgSz w:w="11900" w:h="16820"/>
          <w:pgMar w:top="1440" w:right="1191" w:bottom="720" w:left="1440" w:header="720" w:footer="720" w:gutter="0"/>
          <w:cols w:space="60"/>
          <w:noEndnote/>
        </w:sectPr>
      </w:pPr>
    </w:p>
    <w:p w:rsidR="00F40AC0" w:rsidRDefault="00F40AC0">
      <w:pPr>
        <w:pStyle w:val="1"/>
      </w:pPr>
      <w:r>
        <w:lastRenderedPageBreak/>
        <w:t>Приложение 7</w:t>
      </w:r>
    </w:p>
    <w:p w:rsidR="00F40AC0" w:rsidRDefault="00F40AC0">
      <w:pPr>
        <w:pStyle w:val="FR4"/>
        <w:spacing w:before="80" w:line="312" w:lineRule="auto"/>
        <w:ind w:left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КНИГА</w:t>
      </w:r>
    </w:p>
    <w:p w:rsidR="00F40AC0" w:rsidRDefault="00F40AC0">
      <w:pPr>
        <w:pStyle w:val="FR4"/>
        <w:spacing w:line="312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sz w:val="24"/>
        </w:rPr>
        <w:t>выдачи материалов пользователям</w:t>
      </w:r>
    </w:p>
    <w:p w:rsidR="00F40AC0" w:rsidRDefault="00C57AEC">
      <w:pPr>
        <w:pStyle w:val="FR4"/>
        <w:spacing w:before="80" w:line="312" w:lineRule="auto"/>
        <w:ind w:left="0" w:firstLine="72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4445</wp:posOffset>
            </wp:positionV>
            <wp:extent cx="9298940" cy="57353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940" cy="573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0AC0">
      <w:pgSz w:w="16820" w:h="11900" w:orient="landscape"/>
      <w:pgMar w:top="1060" w:right="1440" w:bottom="1191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C0" w:rsidRDefault="00F40AC0">
      <w:pPr>
        <w:spacing w:line="240" w:lineRule="auto"/>
      </w:pPr>
      <w:r>
        <w:separator/>
      </w:r>
    </w:p>
  </w:endnote>
  <w:endnote w:type="continuationSeparator" w:id="0">
    <w:p w:rsidR="00F40AC0" w:rsidRDefault="00F40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C0" w:rsidRDefault="00F40AC0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AC0" w:rsidRDefault="00F40AC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C0" w:rsidRDefault="00F40AC0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7AEC">
      <w:rPr>
        <w:rStyle w:val="a6"/>
        <w:noProof/>
      </w:rPr>
      <w:t>22</w:t>
    </w:r>
    <w:r>
      <w:rPr>
        <w:rStyle w:val="a6"/>
      </w:rPr>
      <w:fldChar w:fldCharType="end"/>
    </w:r>
  </w:p>
  <w:p w:rsidR="00F40AC0" w:rsidRDefault="00F40AC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C0" w:rsidRDefault="00F40AC0">
      <w:pPr>
        <w:spacing w:line="240" w:lineRule="auto"/>
      </w:pPr>
      <w:r>
        <w:separator/>
      </w:r>
    </w:p>
  </w:footnote>
  <w:footnote w:type="continuationSeparator" w:id="0">
    <w:p w:rsidR="00F40AC0" w:rsidRDefault="00F40A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58"/>
    <w:rsid w:val="009F3658"/>
    <w:rsid w:val="00C57AEC"/>
    <w:rsid w:val="00F4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69CF94-8949-4A92-B496-5476E738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560"/>
    </w:pPr>
    <w:rPr>
      <w:sz w:val="16"/>
      <w:szCs w:val="16"/>
    </w:rPr>
  </w:style>
  <w:style w:type="paragraph" w:styleId="1">
    <w:name w:val="heading 1"/>
    <w:basedOn w:val="a"/>
    <w:next w:val="a"/>
    <w:qFormat/>
    <w:pPr>
      <w:keepNext/>
      <w:spacing w:line="312" w:lineRule="auto"/>
      <w:ind w:firstLine="720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1300" w:line="312" w:lineRule="auto"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1200" w:after="720" w:line="312" w:lineRule="auto"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740" w:line="312" w:lineRule="auto"/>
      <w:ind w:firstLine="720"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40"/>
      <w:ind w:left="1680"/>
    </w:pPr>
    <w:rPr>
      <w:sz w:val="36"/>
      <w:szCs w:val="36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80"/>
      <w:ind w:right="200"/>
      <w:jc w:val="center"/>
    </w:pPr>
    <w:rPr>
      <w:rFonts w:ascii="Arial" w:hAnsi="Arial" w:cs="Arial"/>
      <w:sz w:val="28"/>
      <w:szCs w:val="2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40"/>
      <w:ind w:left="360"/>
    </w:pPr>
    <w:rPr>
      <w:sz w:val="24"/>
      <w:szCs w:val="24"/>
    </w:rPr>
  </w:style>
  <w:style w:type="paragraph" w:customStyle="1" w:styleId="FR4">
    <w:name w:val="FR4"/>
    <w:pPr>
      <w:widowControl w:val="0"/>
      <w:autoSpaceDE w:val="0"/>
      <w:autoSpaceDN w:val="0"/>
      <w:adjustRightInd w:val="0"/>
      <w:spacing w:line="340" w:lineRule="auto"/>
      <w:ind w:left="120"/>
      <w:jc w:val="both"/>
    </w:pPr>
    <w:rPr>
      <w:rFonts w:ascii="Arial" w:hAnsi="Arial" w:cs="Arial"/>
      <w:i/>
      <w:iCs/>
    </w:rPr>
  </w:style>
  <w:style w:type="paragraph" w:customStyle="1" w:styleId="FR5">
    <w:name w:val="FR5"/>
    <w:pPr>
      <w:widowControl w:val="0"/>
      <w:autoSpaceDE w:val="0"/>
      <w:autoSpaceDN w:val="0"/>
      <w:adjustRightInd w:val="0"/>
    </w:pPr>
    <w:rPr>
      <w:rFonts w:ascii="Arial" w:hAnsi="Arial" w:cs="Arial"/>
      <w:noProof/>
      <w:sz w:val="12"/>
      <w:szCs w:val="12"/>
    </w:rPr>
  </w:style>
  <w:style w:type="paragraph" w:styleId="a3">
    <w:name w:val="Body Text Indent"/>
    <w:basedOn w:val="a"/>
    <w:semiHidden/>
    <w:rPr>
      <w:sz w:val="20"/>
    </w:rPr>
  </w:style>
  <w:style w:type="paragraph" w:styleId="a4">
    <w:name w:val="Body Text"/>
    <w:basedOn w:val="a"/>
    <w:semiHidden/>
    <w:pPr>
      <w:ind w:firstLine="0"/>
      <w:jc w:val="both"/>
    </w:pPr>
    <w:rPr>
      <w:sz w:val="20"/>
    </w:rPr>
  </w:style>
  <w:style w:type="paragraph" w:styleId="20">
    <w:name w:val="Body Text Indent 2"/>
    <w:basedOn w:val="a"/>
    <w:semiHidden/>
    <w:pPr>
      <w:jc w:val="both"/>
    </w:pPr>
    <w:rPr>
      <w:sz w:val="20"/>
    </w:rPr>
  </w:style>
  <w:style w:type="paragraph" w:styleId="30">
    <w:name w:val="Body Text Indent 3"/>
    <w:basedOn w:val="a"/>
    <w:semiHidden/>
    <w:pPr>
      <w:ind w:firstLine="561"/>
      <w:jc w:val="both"/>
    </w:pPr>
    <w:rPr>
      <w:sz w:val="20"/>
    </w:rPr>
  </w:style>
  <w:style w:type="paragraph" w:styleId="21">
    <w:name w:val="Body Text 2"/>
    <w:basedOn w:val="a"/>
    <w:semiHidden/>
    <w:pPr>
      <w:ind w:firstLine="0"/>
      <w:jc w:val="both"/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Geolfond</Company>
  <LinksUpToDate>false</LinksUpToDate>
  <CharactersWithSpaces>29231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Д.В.Макаров</dc:creator>
  <cp:keywords/>
  <dc:description/>
  <cp:lastModifiedBy>Черныш Виктор Михайлович</cp:lastModifiedBy>
  <cp:revision>2</cp:revision>
  <cp:lastPrinted>1601-01-01T00:00:00Z</cp:lastPrinted>
  <dcterms:created xsi:type="dcterms:W3CDTF">2021-07-23T06:40:00Z</dcterms:created>
  <dcterms:modified xsi:type="dcterms:W3CDTF">2021-07-23T06:40:00Z</dcterms:modified>
</cp:coreProperties>
</file>